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72D" w:rsidRDefault="00370424">
      <w:pPr>
        <w:pStyle w:val="Sinespaciado"/>
        <w:rPr>
          <w:rFonts w:asciiTheme="majorHAnsi" w:eastAsiaTheme="majorEastAsia" w:hAnsiTheme="majorHAnsi" w:cstheme="majorBidi"/>
          <w:sz w:val="72"/>
          <w:szCs w:val="72"/>
        </w:rPr>
      </w:pPr>
      <w:r w:rsidRPr="00370424">
        <w:rPr>
          <w:rFonts w:asciiTheme="minorHAnsi" w:eastAsiaTheme="majorEastAsia" w:hAnsiTheme="minorHAnsi" w:cstheme="majorBidi"/>
          <w:noProof/>
        </w:rPr>
        <w:pict>
          <v:rect id="_x0000_s1026" style="position:absolute;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370424">
        <w:rPr>
          <w:rFonts w:asciiTheme="minorHAnsi" w:eastAsiaTheme="majorEastAsia" w:hAnsiTheme="minorHAnsi" w:cstheme="majorBidi"/>
          <w:noProof/>
        </w:rPr>
        <w:pict>
          <v:rect id="_x0000_s1029" style="position:absolute;margin-left:39pt;margin-top:-19.4pt;width:7.15pt;height:830.8pt;z-index:251663360;mso-height-percent:1050;mso-position-horizontal-relative:page;mso-position-vertical-relative:page;mso-height-percent:1050" o:allowincell="f" strokecolor="#31849b">
            <w10:wrap anchorx="margin" anchory="page"/>
          </v:rect>
        </w:pict>
      </w:r>
      <w:r w:rsidRPr="00370424">
        <w:rPr>
          <w:rFonts w:asciiTheme="minorHAnsi" w:eastAsiaTheme="majorEastAsia" w:hAnsiTheme="minorHAnsi" w:cstheme="majorBidi"/>
          <w:noProof/>
        </w:rPr>
        <w:pict>
          <v:rect id="_x0000_s1028" style="position:absolute;margin-left:565.9pt;margin-top:-19.4pt;width:7.15pt;height:830.8pt;z-index:251662336;mso-height-percent:1050;mso-position-horizontal-relative:page;mso-position-vertical-relative:page;mso-height-percent:1050" o:allowincell="f" strokecolor="#31849b">
            <w10:wrap anchorx="page" anchory="page"/>
          </v:rect>
        </w:pict>
      </w:r>
      <w:r w:rsidRPr="00370424">
        <w:rPr>
          <w:rFonts w:asciiTheme="minorHAnsi" w:eastAsiaTheme="majorEastAsia" w:hAnsiTheme="minorHAnsi" w:cstheme="majorBidi"/>
          <w:noProof/>
        </w:rPr>
        <w:pict>
          <v:rect id="_x0000_s1027" style="position:absolute;margin-left:-14.9pt;margin-top:.4pt;width:641.75pt;height:62.9pt;z-index:251661312;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03672D" w:rsidRDefault="00F25B05">
      <w:pPr>
        <w:pStyle w:val="Sinespaciado"/>
        <w:rPr>
          <w:rFonts w:asciiTheme="majorHAnsi" w:eastAsiaTheme="majorEastAsia" w:hAnsiTheme="majorHAnsi" w:cstheme="majorBidi"/>
          <w:sz w:val="72"/>
          <w:szCs w:val="72"/>
        </w:rPr>
      </w:pPr>
      <w:r w:rsidRPr="00F25B05">
        <w:rPr>
          <w:rFonts w:ascii="Arial" w:eastAsiaTheme="majorEastAsia" w:hAnsi="Arial" w:cs="Arial"/>
          <w:sz w:val="72"/>
          <w:szCs w:val="72"/>
        </w:rPr>
        <w:t>Trazabilidad en los canales de distribución.</w:t>
      </w:r>
    </w:p>
    <w:p w:rsidR="0003672D" w:rsidRDefault="00F25B05">
      <w:pPr>
        <w:pStyle w:val="Sinespaciado"/>
        <w:rPr>
          <w:rFonts w:asciiTheme="majorHAnsi" w:eastAsiaTheme="majorEastAsia" w:hAnsiTheme="majorHAnsi" w:cstheme="majorBidi"/>
          <w:sz w:val="36"/>
          <w:szCs w:val="36"/>
        </w:rPr>
      </w:pPr>
      <w:r w:rsidRPr="00F25B05">
        <w:rPr>
          <w:rFonts w:ascii="Arial" w:eastAsiaTheme="majorEastAsia" w:hAnsi="Arial" w:cs="Arial"/>
          <w:sz w:val="36"/>
          <w:szCs w:val="36"/>
        </w:rPr>
        <w:t>Evidencias</w:t>
      </w:r>
    </w:p>
    <w:p w:rsidR="0003672D" w:rsidRDefault="0003672D">
      <w:pPr>
        <w:pStyle w:val="Sinespaciado"/>
        <w:rPr>
          <w:rFonts w:asciiTheme="majorHAnsi" w:eastAsiaTheme="majorEastAsia" w:hAnsiTheme="majorHAnsi" w:cstheme="majorBidi"/>
          <w:sz w:val="36"/>
          <w:szCs w:val="36"/>
        </w:rPr>
      </w:pPr>
    </w:p>
    <w:p w:rsidR="0003672D" w:rsidRDefault="0003672D">
      <w:pPr>
        <w:pStyle w:val="Sinespaciado"/>
        <w:rPr>
          <w:rFonts w:asciiTheme="majorHAnsi" w:eastAsiaTheme="majorEastAsia" w:hAnsiTheme="majorHAnsi" w:cstheme="majorBidi"/>
          <w:sz w:val="36"/>
          <w:szCs w:val="36"/>
        </w:rPr>
      </w:pPr>
    </w:p>
    <w:p w:rsidR="0003672D" w:rsidRDefault="007D4512">
      <w:pPr>
        <w:pStyle w:val="Sinespaciado"/>
      </w:pPr>
      <w:r>
        <w:t>24</w:t>
      </w:r>
      <w:r w:rsidR="00F25B05">
        <w:t>/1</w:t>
      </w:r>
      <w:r>
        <w:t>1</w:t>
      </w:r>
      <w:r w:rsidR="00F25B05">
        <w:t>/2010</w:t>
      </w:r>
    </w:p>
    <w:p w:rsidR="0003672D" w:rsidRDefault="00F25B05">
      <w:pPr>
        <w:pStyle w:val="Sinespaciado"/>
      </w:pPr>
      <w:r w:rsidRPr="00F25B05">
        <w:rPr>
          <w:rFonts w:ascii="Arial" w:hAnsi="Arial" w:cs="Arial"/>
          <w:lang w:val="es-CO"/>
        </w:rPr>
        <w:t xml:space="preserve">Pf. </w:t>
      </w:r>
      <w:r w:rsidR="007D4512">
        <w:rPr>
          <w:rFonts w:ascii="Arial" w:hAnsi="Arial" w:cs="Arial"/>
          <w:lang w:val="es-CO"/>
        </w:rPr>
        <w:t>Johana</w:t>
      </w:r>
      <w:r w:rsidRPr="00F25B05">
        <w:rPr>
          <w:rFonts w:ascii="Arial" w:hAnsi="Arial" w:cs="Arial"/>
          <w:lang w:val="es-CO"/>
        </w:rPr>
        <w:t>.</w:t>
      </w:r>
    </w:p>
    <w:p w:rsidR="0003672D" w:rsidRDefault="00F25B05">
      <w:pPr>
        <w:pStyle w:val="Sinespaciado"/>
      </w:pPr>
      <w:r w:rsidRPr="00F25B05">
        <w:rPr>
          <w:rFonts w:ascii="Arial" w:hAnsi="Arial" w:cs="Arial"/>
        </w:rPr>
        <w:t>Diana Marcela Bautista Acuña. 20.187</w:t>
      </w:r>
    </w:p>
    <w:p w:rsidR="0003672D" w:rsidRDefault="0003672D">
      <w:pPr>
        <w:rPr>
          <w:lang w:val="es-ES"/>
        </w:rPr>
      </w:pPr>
    </w:p>
    <w:p w:rsidR="0003672D" w:rsidRDefault="0003672D">
      <w:r>
        <w:br w:type="page"/>
      </w:r>
    </w:p>
    <w:p w:rsidR="00A4421A" w:rsidRDefault="00196672">
      <w:pPr>
        <w:rPr>
          <w:b/>
        </w:rPr>
      </w:pPr>
      <w:r>
        <w:rPr>
          <w:b/>
        </w:rPr>
        <w:lastRenderedPageBreak/>
        <w:t>TERMINOS.</w:t>
      </w:r>
    </w:p>
    <w:p w:rsidR="00196672" w:rsidRPr="00196672" w:rsidRDefault="00196672" w:rsidP="006E643F">
      <w:pPr>
        <w:pStyle w:val="Prrafodelista"/>
        <w:numPr>
          <w:ilvl w:val="0"/>
          <w:numId w:val="3"/>
        </w:numPr>
        <w:spacing w:before="100" w:beforeAutospacing="1" w:after="100" w:afterAutospacing="1" w:line="240" w:lineRule="auto"/>
        <w:jc w:val="both"/>
        <w:rPr>
          <w:rFonts w:ascii="Arial" w:eastAsia="Times New Roman" w:hAnsi="Arial" w:cs="Arial"/>
          <w:sz w:val="20"/>
          <w:szCs w:val="20"/>
          <w:lang w:val="es-ES" w:eastAsia="es-CO"/>
        </w:rPr>
      </w:pPr>
      <w:r w:rsidRPr="00196672">
        <w:rPr>
          <w:rFonts w:ascii="Arial" w:eastAsia="Times New Roman" w:hAnsi="Arial" w:cs="Arial"/>
          <w:b/>
          <w:bCs/>
          <w:sz w:val="20"/>
          <w:szCs w:val="20"/>
          <w:lang w:val="es-ES" w:eastAsia="es-CO"/>
        </w:rPr>
        <w:t>Planificación de los Recursos de Distribución</w:t>
      </w:r>
      <w:r w:rsidRPr="00196672">
        <w:rPr>
          <w:rFonts w:ascii="Arial" w:eastAsia="Times New Roman" w:hAnsi="Arial" w:cs="Arial"/>
          <w:b/>
          <w:sz w:val="20"/>
          <w:szCs w:val="20"/>
          <w:lang w:val="es-ES" w:eastAsia="es-CO"/>
        </w:rPr>
        <w:t xml:space="preserve"> o </w:t>
      </w:r>
      <w:r w:rsidRPr="00196672">
        <w:rPr>
          <w:rFonts w:ascii="Arial" w:eastAsia="Times New Roman" w:hAnsi="Arial" w:cs="Arial"/>
          <w:b/>
          <w:bCs/>
          <w:sz w:val="20"/>
          <w:szCs w:val="20"/>
          <w:lang w:val="es-ES" w:eastAsia="es-CO"/>
        </w:rPr>
        <w:t>Distribution Resource Planning</w:t>
      </w:r>
      <w:r w:rsidRPr="00196672">
        <w:rPr>
          <w:rFonts w:ascii="Arial" w:eastAsia="Times New Roman" w:hAnsi="Arial" w:cs="Arial"/>
          <w:b/>
          <w:sz w:val="20"/>
          <w:szCs w:val="20"/>
          <w:lang w:val="es-ES" w:eastAsia="es-CO"/>
        </w:rPr>
        <w:t xml:space="preserve"> (</w:t>
      </w:r>
      <w:r w:rsidRPr="00196672">
        <w:rPr>
          <w:rFonts w:ascii="Arial" w:eastAsia="Times New Roman" w:hAnsi="Arial" w:cs="Arial"/>
          <w:b/>
          <w:bCs/>
          <w:sz w:val="20"/>
          <w:szCs w:val="20"/>
          <w:lang w:val="es-ES" w:eastAsia="es-CO"/>
        </w:rPr>
        <w:t>DRP</w:t>
      </w:r>
      <w:r w:rsidRPr="00196672">
        <w:rPr>
          <w:rFonts w:ascii="Arial" w:eastAsia="Times New Roman" w:hAnsi="Arial" w:cs="Arial"/>
          <w:b/>
          <w:sz w:val="20"/>
          <w:szCs w:val="20"/>
          <w:lang w:val="es-ES" w:eastAsia="es-CO"/>
        </w:rPr>
        <w:t>)</w:t>
      </w:r>
      <w:r w:rsidRPr="00196672">
        <w:rPr>
          <w:rFonts w:ascii="Arial" w:eastAsia="Times New Roman" w:hAnsi="Arial" w:cs="Arial"/>
          <w:sz w:val="20"/>
          <w:szCs w:val="20"/>
          <w:lang w:val="es-ES" w:eastAsia="es-CO"/>
        </w:rPr>
        <w:t xml:space="preserve"> es un método usado en la administración de negocios para planificar la emisión de órdenes de productos dentro de la cadena de suministro. El DRP habilita al usuario para establecer ciertos parámetros para el control del inventario (como el </w:t>
      </w:r>
      <w:hyperlink r:id="rId6" w:tooltip="Inventario de seguridad (aún no redactado)" w:history="1">
        <w:r w:rsidRPr="00196672">
          <w:rPr>
            <w:rFonts w:ascii="Arial" w:eastAsia="Times New Roman" w:hAnsi="Arial" w:cs="Arial"/>
            <w:sz w:val="20"/>
            <w:szCs w:val="20"/>
            <w:lang w:val="es-ES" w:eastAsia="es-CO"/>
          </w:rPr>
          <w:t>inventario de seguridad</w:t>
        </w:r>
      </w:hyperlink>
      <w:r w:rsidRPr="00196672">
        <w:rPr>
          <w:rFonts w:ascii="Arial" w:eastAsia="Times New Roman" w:hAnsi="Arial" w:cs="Arial"/>
          <w:sz w:val="20"/>
          <w:szCs w:val="20"/>
          <w:lang w:val="es-ES" w:eastAsia="es-CO"/>
        </w:rPr>
        <w:t xml:space="preserve">) y calcular el tiempo de fase entre los requerimientos del </w:t>
      </w:r>
      <w:hyperlink r:id="rId7" w:tooltip="Inventario" w:history="1">
        <w:r w:rsidRPr="00196672">
          <w:rPr>
            <w:rFonts w:ascii="Arial" w:eastAsia="Times New Roman" w:hAnsi="Arial" w:cs="Arial"/>
            <w:sz w:val="20"/>
            <w:szCs w:val="20"/>
            <w:lang w:val="es-ES" w:eastAsia="es-CO"/>
          </w:rPr>
          <w:t>inventario</w:t>
        </w:r>
      </w:hyperlink>
      <w:r w:rsidRPr="00196672">
        <w:rPr>
          <w:rFonts w:ascii="Arial" w:eastAsia="Times New Roman" w:hAnsi="Arial" w:cs="Arial"/>
          <w:sz w:val="20"/>
          <w:szCs w:val="20"/>
          <w:lang w:val="es-ES" w:eastAsia="es-CO"/>
        </w:rPr>
        <w:t>.</w:t>
      </w:r>
    </w:p>
    <w:p w:rsidR="00196672" w:rsidRPr="00196672" w:rsidRDefault="00196672" w:rsidP="00196672">
      <w:p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 xml:space="preserve">El </w:t>
      </w:r>
      <w:r w:rsidRPr="00196672">
        <w:rPr>
          <w:rFonts w:ascii="Arial" w:eastAsia="Times New Roman" w:hAnsi="Arial" w:cs="Arial"/>
          <w:bCs/>
          <w:sz w:val="20"/>
          <w:szCs w:val="20"/>
          <w:lang w:val="es-ES" w:eastAsia="es-CO"/>
        </w:rPr>
        <w:t>DRP</w:t>
      </w:r>
      <w:r w:rsidRPr="00196672">
        <w:rPr>
          <w:rFonts w:ascii="Arial" w:eastAsia="Times New Roman" w:hAnsi="Arial" w:cs="Arial"/>
          <w:sz w:val="20"/>
          <w:szCs w:val="20"/>
          <w:lang w:val="es-ES" w:eastAsia="es-CO"/>
        </w:rPr>
        <w:t xml:space="preserve"> usa diferentes variables:</w:t>
      </w:r>
    </w:p>
    <w:p w:rsidR="00196672" w:rsidRPr="00196672" w:rsidRDefault="00196672" w:rsidP="006E643F">
      <w:pPr>
        <w:numPr>
          <w:ilvl w:val="0"/>
          <w:numId w:val="1"/>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inventario "one-hand" al final de un periodo.</w:t>
      </w:r>
    </w:p>
    <w:p w:rsidR="00196672" w:rsidRPr="00196672" w:rsidRDefault="00196672" w:rsidP="006E643F">
      <w:pPr>
        <w:numPr>
          <w:ilvl w:val="0"/>
          <w:numId w:val="1"/>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la demanda de pedidos al final de un periodo.</w:t>
      </w:r>
    </w:p>
    <w:p w:rsidR="00196672" w:rsidRPr="00196672" w:rsidRDefault="00196672" w:rsidP="006E643F">
      <w:pPr>
        <w:numPr>
          <w:ilvl w:val="0"/>
          <w:numId w:val="1"/>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la cantidad de producto requerido que se necesita al comienzo de un periodo.</w:t>
      </w:r>
    </w:p>
    <w:p w:rsidR="00196672" w:rsidRPr="00196672" w:rsidRDefault="00196672" w:rsidP="006E643F">
      <w:pPr>
        <w:numPr>
          <w:ilvl w:val="0"/>
          <w:numId w:val="1"/>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la cantidad obligada de producto disponible al comienzo de un periodo.</w:t>
      </w:r>
    </w:p>
    <w:p w:rsidR="00196672" w:rsidRPr="00196672" w:rsidRDefault="00196672" w:rsidP="006E643F">
      <w:pPr>
        <w:numPr>
          <w:ilvl w:val="0"/>
          <w:numId w:val="1"/>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el tamaño de orden recomendado al comienzo de un periodo.</w:t>
      </w:r>
    </w:p>
    <w:p w:rsidR="00196672" w:rsidRPr="00196672" w:rsidRDefault="00196672" w:rsidP="00196672">
      <w:p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 xml:space="preserve">El </w:t>
      </w:r>
      <w:r w:rsidRPr="00196672">
        <w:rPr>
          <w:rFonts w:ascii="Arial" w:eastAsia="Times New Roman" w:hAnsi="Arial" w:cs="Arial"/>
          <w:bCs/>
          <w:sz w:val="20"/>
          <w:szCs w:val="20"/>
          <w:lang w:val="es-ES" w:eastAsia="es-CO"/>
        </w:rPr>
        <w:t>DRP</w:t>
      </w:r>
      <w:r w:rsidRPr="00196672">
        <w:rPr>
          <w:rFonts w:ascii="Arial" w:eastAsia="Times New Roman" w:hAnsi="Arial" w:cs="Arial"/>
          <w:sz w:val="20"/>
          <w:szCs w:val="20"/>
          <w:lang w:val="es-ES" w:eastAsia="es-CO"/>
        </w:rPr>
        <w:t xml:space="preserve"> necesita de la siguiente información:</w:t>
      </w:r>
    </w:p>
    <w:p w:rsidR="00196672" w:rsidRPr="00196672" w:rsidRDefault="00196672" w:rsidP="006E643F">
      <w:pPr>
        <w:numPr>
          <w:ilvl w:val="0"/>
          <w:numId w:val="2"/>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la demanda en un futuro periodo.</w:t>
      </w:r>
    </w:p>
    <w:p w:rsidR="00196672" w:rsidRPr="00196672" w:rsidRDefault="00196672" w:rsidP="006E643F">
      <w:pPr>
        <w:numPr>
          <w:ilvl w:val="0"/>
          <w:numId w:val="2"/>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los recibos (notas) al comienzo de un periodo.</w:t>
      </w:r>
    </w:p>
    <w:p w:rsidR="00196672" w:rsidRPr="00196672" w:rsidRDefault="00196672" w:rsidP="006E643F">
      <w:pPr>
        <w:numPr>
          <w:ilvl w:val="0"/>
          <w:numId w:val="2"/>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el requerimiento de un "stock" (existencias) de seguridad.</w:t>
      </w:r>
    </w:p>
    <w:p w:rsidR="00196672" w:rsidRPr="00196672" w:rsidRDefault="00196672" w:rsidP="006E643F">
      <w:pPr>
        <w:numPr>
          <w:ilvl w:val="0"/>
          <w:numId w:val="2"/>
        </w:numPr>
        <w:spacing w:before="100" w:beforeAutospacing="1" w:after="100" w:afterAutospacing="1" w:line="240" w:lineRule="auto"/>
        <w:rPr>
          <w:rFonts w:ascii="Arial" w:eastAsia="Times New Roman" w:hAnsi="Arial" w:cs="Arial"/>
          <w:sz w:val="20"/>
          <w:szCs w:val="20"/>
          <w:lang w:val="es-ES" w:eastAsia="es-CO"/>
        </w:rPr>
      </w:pPr>
      <w:r w:rsidRPr="00196672">
        <w:rPr>
          <w:rFonts w:ascii="Arial" w:eastAsia="Times New Roman" w:hAnsi="Arial" w:cs="Arial"/>
          <w:sz w:val="20"/>
          <w:szCs w:val="20"/>
          <w:lang w:val="es-ES" w:eastAsia="es-CO"/>
        </w:rPr>
        <w:t>el inventario "one-hand" al comienzo de un periodo.</w:t>
      </w:r>
    </w:p>
    <w:p w:rsidR="00196672" w:rsidRPr="00196672" w:rsidRDefault="00196672" w:rsidP="00196672">
      <w:pPr>
        <w:spacing w:before="100" w:beforeAutospacing="1" w:after="100" w:afterAutospacing="1" w:line="240" w:lineRule="auto"/>
        <w:rPr>
          <w:rFonts w:ascii="Arial" w:eastAsia="Times New Roman" w:hAnsi="Arial" w:cs="Arial"/>
          <w:sz w:val="20"/>
          <w:szCs w:val="20"/>
          <w:lang w:eastAsia="es-CO"/>
        </w:rPr>
      </w:pPr>
      <w:r w:rsidRPr="00196672">
        <w:rPr>
          <w:rFonts w:ascii="Arial" w:eastAsia="Times New Roman" w:hAnsi="Arial" w:cs="Arial"/>
          <w:sz w:val="20"/>
          <w:szCs w:val="20"/>
          <w:lang w:eastAsia="es-CO"/>
        </w:rPr>
        <w:t>Los objetivos de la Planificación de la distribución (DRP) en el Sistema SAP R/3 son:</w:t>
      </w:r>
    </w:p>
    <w:p w:rsidR="00196672" w:rsidRPr="00196672" w:rsidRDefault="00196672" w:rsidP="006E643F">
      <w:pPr>
        <w:numPr>
          <w:ilvl w:val="0"/>
          <w:numId w:val="4"/>
        </w:numPr>
        <w:spacing w:before="100" w:beforeAutospacing="1" w:after="100" w:afterAutospacing="1" w:line="240" w:lineRule="auto"/>
        <w:rPr>
          <w:rFonts w:ascii="Arial" w:eastAsia="Times New Roman" w:hAnsi="Arial" w:cs="Arial"/>
          <w:sz w:val="20"/>
          <w:szCs w:val="20"/>
          <w:lang w:eastAsia="es-CO"/>
        </w:rPr>
      </w:pPr>
      <w:r w:rsidRPr="00196672">
        <w:rPr>
          <w:rFonts w:ascii="Arial" w:eastAsia="Times New Roman" w:hAnsi="Arial" w:cs="Arial"/>
          <w:sz w:val="20"/>
          <w:szCs w:val="20"/>
          <w:lang w:eastAsia="es-CO"/>
        </w:rPr>
        <w:t xml:space="preserve">Mejorar los niveles de asistencia al cliente anticipando la demanda del cliente en los centros de distribución y proporcionando productos terminados en la ubicación adecuada cuando surgen las necesidades del cliente. </w:t>
      </w:r>
    </w:p>
    <w:p w:rsidR="00196672" w:rsidRPr="00196672" w:rsidRDefault="00196672" w:rsidP="006E643F">
      <w:pPr>
        <w:numPr>
          <w:ilvl w:val="0"/>
          <w:numId w:val="4"/>
        </w:numPr>
        <w:spacing w:before="100" w:beforeAutospacing="1" w:after="100" w:afterAutospacing="1" w:line="240" w:lineRule="auto"/>
        <w:rPr>
          <w:rFonts w:ascii="Arial" w:eastAsia="Times New Roman" w:hAnsi="Arial" w:cs="Arial"/>
          <w:sz w:val="20"/>
          <w:szCs w:val="20"/>
          <w:lang w:eastAsia="es-CO"/>
        </w:rPr>
      </w:pPr>
      <w:r w:rsidRPr="00196672">
        <w:rPr>
          <w:rFonts w:ascii="Arial" w:eastAsia="Times New Roman" w:hAnsi="Arial" w:cs="Arial"/>
          <w:sz w:val="20"/>
          <w:szCs w:val="20"/>
          <w:lang w:eastAsia="es-CO"/>
        </w:rPr>
        <w:t xml:space="preserve">Proporcionar un plan de necesidades preciso para la fabricación. </w:t>
      </w:r>
    </w:p>
    <w:p w:rsidR="00196672" w:rsidRPr="00196672" w:rsidRDefault="00196672" w:rsidP="006E643F">
      <w:pPr>
        <w:numPr>
          <w:ilvl w:val="0"/>
          <w:numId w:val="4"/>
        </w:numPr>
        <w:spacing w:before="100" w:beforeAutospacing="1" w:after="100" w:afterAutospacing="1" w:line="240" w:lineRule="auto"/>
        <w:rPr>
          <w:rFonts w:ascii="Arial" w:eastAsia="Times New Roman" w:hAnsi="Arial" w:cs="Arial"/>
          <w:sz w:val="20"/>
          <w:szCs w:val="20"/>
          <w:lang w:eastAsia="es-CO"/>
        </w:rPr>
      </w:pPr>
      <w:r w:rsidRPr="00196672">
        <w:rPr>
          <w:rFonts w:ascii="Arial" w:eastAsia="Times New Roman" w:hAnsi="Arial" w:cs="Arial"/>
          <w:sz w:val="20"/>
          <w:szCs w:val="20"/>
          <w:lang w:eastAsia="es-CO"/>
        </w:rPr>
        <w:t>Optimizar la distribución de stock disponible en la red de distribución mediante la función de despliegue.</w:t>
      </w:r>
    </w:p>
    <w:p w:rsidR="00196672" w:rsidRPr="00196672" w:rsidRDefault="00196672" w:rsidP="006C5AB8">
      <w:pPr>
        <w:spacing w:before="100" w:beforeAutospacing="1" w:after="100" w:afterAutospacing="1" w:line="240" w:lineRule="auto"/>
        <w:ind w:left="720"/>
        <w:jc w:val="both"/>
        <w:rPr>
          <w:rFonts w:ascii="Arial" w:eastAsia="Times New Roman" w:hAnsi="Arial" w:cs="Arial"/>
          <w:sz w:val="20"/>
          <w:szCs w:val="20"/>
          <w:lang w:eastAsia="es-CO"/>
        </w:rPr>
      </w:pPr>
      <w:r w:rsidRPr="00196672">
        <w:rPr>
          <w:rFonts w:ascii="Arial" w:eastAsia="Times New Roman" w:hAnsi="Arial" w:cs="Arial"/>
          <w:sz w:val="20"/>
          <w:szCs w:val="20"/>
          <w:lang w:eastAsia="es-CO"/>
        </w:rPr>
        <w:t xml:space="preserve">El despliegue permite emprender acciones cuando se calcula una </w:t>
      </w:r>
      <w:r w:rsidR="0008108D" w:rsidRPr="00196672">
        <w:rPr>
          <w:rFonts w:ascii="Arial" w:eastAsia="Times New Roman" w:hAnsi="Arial" w:cs="Arial"/>
          <w:sz w:val="20"/>
          <w:szCs w:val="20"/>
          <w:lang w:eastAsia="es-CO"/>
        </w:rPr>
        <w:t>infra cobertura</w:t>
      </w:r>
      <w:r w:rsidRPr="00196672">
        <w:rPr>
          <w:rFonts w:ascii="Arial" w:eastAsia="Times New Roman" w:hAnsi="Arial" w:cs="Arial"/>
          <w:sz w:val="20"/>
          <w:szCs w:val="20"/>
          <w:lang w:eastAsia="es-CO"/>
        </w:rPr>
        <w:t xml:space="preserve"> o un excedente de necesidades como resultado de ejecuciones de DRP. El despliegue utiliza algoritmos para el reparto fair share cuando la demanda supera a la oferta y la distribución "push", "pull" o "pull/push" cuando la oferta supera a la demanda. </w:t>
      </w:r>
    </w:p>
    <w:p w:rsidR="00196672" w:rsidRPr="00196672" w:rsidRDefault="00196672" w:rsidP="00196672">
      <w:pPr>
        <w:pStyle w:val="NormalWeb"/>
        <w:rPr>
          <w:rFonts w:ascii="Arial" w:hAnsi="Arial" w:cs="Arial"/>
          <w:b/>
          <w:bCs/>
          <w:sz w:val="22"/>
          <w:szCs w:val="22"/>
        </w:rPr>
      </w:pPr>
      <w:r w:rsidRPr="00196672">
        <w:rPr>
          <w:rFonts w:ascii="Arial" w:hAnsi="Arial" w:cs="Arial"/>
          <w:b/>
          <w:bCs/>
          <w:sz w:val="22"/>
          <w:szCs w:val="22"/>
        </w:rPr>
        <w:t>Consideraciones de implementación</w:t>
      </w:r>
    </w:p>
    <w:p w:rsidR="00196672" w:rsidRPr="00196672" w:rsidRDefault="00196672" w:rsidP="006C5AB8">
      <w:pPr>
        <w:pStyle w:val="NormalWeb"/>
        <w:jc w:val="both"/>
        <w:rPr>
          <w:rFonts w:ascii="Arial" w:hAnsi="Arial" w:cs="Arial"/>
          <w:sz w:val="22"/>
          <w:szCs w:val="22"/>
        </w:rPr>
      </w:pPr>
      <w:r w:rsidRPr="00196672">
        <w:rPr>
          <w:rFonts w:ascii="Arial" w:hAnsi="Arial" w:cs="Arial"/>
          <w:b/>
          <w:bCs/>
          <w:sz w:val="22"/>
          <w:szCs w:val="22"/>
        </w:rPr>
        <w:t>Antes de poder utilizar DRP para la planificación y el despliegue, hay que configurar una red de distribución.</w:t>
      </w:r>
      <w:r w:rsidRPr="00196672">
        <w:rPr>
          <w:rFonts w:ascii="Arial" w:hAnsi="Arial" w:cs="Arial"/>
          <w:sz w:val="22"/>
          <w:szCs w:val="22"/>
        </w:rPr>
        <w:t xml:space="preserve"> Un grafo de distribución representa relaciones de entrega posibles entre los centros suministradores y los centros de distribución. DRP implica </w:t>
      </w:r>
      <w:proofErr w:type="gramStart"/>
      <w:r w:rsidRPr="00196672">
        <w:rPr>
          <w:rFonts w:ascii="Arial" w:hAnsi="Arial" w:cs="Arial"/>
          <w:sz w:val="22"/>
          <w:szCs w:val="22"/>
        </w:rPr>
        <w:t>la</w:t>
      </w:r>
      <w:proofErr w:type="gramEnd"/>
      <w:r w:rsidRPr="00196672">
        <w:rPr>
          <w:rFonts w:ascii="Arial" w:hAnsi="Arial" w:cs="Arial"/>
          <w:sz w:val="22"/>
          <w:szCs w:val="22"/>
        </w:rPr>
        <w:t xml:space="preserve"> pre</w:t>
      </w:r>
      <w:r w:rsidR="0008108D">
        <w:rPr>
          <w:rFonts w:ascii="Arial" w:hAnsi="Arial" w:cs="Arial"/>
          <w:sz w:val="22"/>
          <w:szCs w:val="22"/>
        </w:rPr>
        <w:t xml:space="preserve"> </w:t>
      </w:r>
      <w:r w:rsidRPr="00196672">
        <w:rPr>
          <w:rFonts w:ascii="Arial" w:hAnsi="Arial" w:cs="Arial"/>
          <w:sz w:val="22"/>
          <w:szCs w:val="22"/>
        </w:rPr>
        <w:t xml:space="preserve">planificación de la cadena de suministro desde la entrega hasta los centros de distribución, presuponiendo que existen pedidos de cliente o que hay previsiones de ventas disponibles. El objetivo principal </w:t>
      </w:r>
      <w:r w:rsidR="00D31085" w:rsidRPr="00196672">
        <w:rPr>
          <w:rFonts w:ascii="Arial" w:hAnsi="Arial" w:cs="Arial"/>
          <w:sz w:val="22"/>
          <w:szCs w:val="22"/>
        </w:rPr>
        <w:t>del</w:t>
      </w:r>
      <w:r w:rsidRPr="00196672">
        <w:rPr>
          <w:rFonts w:ascii="Arial" w:hAnsi="Arial" w:cs="Arial"/>
          <w:sz w:val="22"/>
          <w:szCs w:val="22"/>
        </w:rPr>
        <w:t xml:space="preserve"> pre</w:t>
      </w:r>
      <w:r w:rsidR="0008108D">
        <w:rPr>
          <w:rFonts w:ascii="Arial" w:hAnsi="Arial" w:cs="Arial"/>
          <w:sz w:val="22"/>
          <w:szCs w:val="22"/>
        </w:rPr>
        <w:t xml:space="preserve"> </w:t>
      </w:r>
      <w:r w:rsidRPr="00196672">
        <w:rPr>
          <w:rFonts w:ascii="Arial" w:hAnsi="Arial" w:cs="Arial"/>
          <w:sz w:val="22"/>
          <w:szCs w:val="22"/>
        </w:rPr>
        <w:t>planificación es determinar las cantidades que se necesitan en fechas específicas, incluyendo los ciclos de fabricación de los canales push. El grafo de distribución define el método de suministro para la ejecución.</w:t>
      </w:r>
    </w:p>
    <w:p w:rsidR="00196672" w:rsidRPr="00196672" w:rsidRDefault="00196672" w:rsidP="006C5AB8">
      <w:pPr>
        <w:pStyle w:val="NormalWeb"/>
        <w:jc w:val="both"/>
        <w:rPr>
          <w:rFonts w:ascii="Arial" w:hAnsi="Arial" w:cs="Arial"/>
          <w:sz w:val="22"/>
          <w:szCs w:val="22"/>
        </w:rPr>
      </w:pPr>
      <w:proofErr w:type="gramStart"/>
      <w:r w:rsidRPr="00196672">
        <w:rPr>
          <w:rFonts w:ascii="Arial" w:hAnsi="Arial" w:cs="Arial"/>
          <w:sz w:val="22"/>
          <w:szCs w:val="22"/>
        </w:rPr>
        <w:t>un</w:t>
      </w:r>
      <w:proofErr w:type="gramEnd"/>
      <w:r w:rsidRPr="00196672">
        <w:rPr>
          <w:rFonts w:ascii="Arial" w:hAnsi="Arial" w:cs="Arial"/>
          <w:sz w:val="22"/>
          <w:szCs w:val="22"/>
        </w:rPr>
        <w:t xml:space="preserve"> "centro", en SAP, es un concepto principal de una ubicación que hace referencia a diversos tipos de nodo, por ejemplo, una instalación de fabricación, un centro del cliente o un centro de distribución.</w:t>
      </w:r>
    </w:p>
    <w:p w:rsidR="00196672" w:rsidRPr="00196672" w:rsidRDefault="00196672" w:rsidP="00196672">
      <w:pPr>
        <w:spacing w:before="100" w:beforeAutospacing="1" w:after="100" w:afterAutospacing="1" w:line="240" w:lineRule="auto"/>
        <w:rPr>
          <w:rFonts w:ascii="Arial" w:eastAsia="Times New Roman" w:hAnsi="Arial" w:cs="Arial"/>
          <w:b/>
          <w:bCs/>
          <w:lang w:eastAsia="es-CO"/>
        </w:rPr>
      </w:pPr>
      <w:r w:rsidRPr="00196672">
        <w:rPr>
          <w:rFonts w:ascii="Arial" w:eastAsia="Times New Roman" w:hAnsi="Arial" w:cs="Arial"/>
          <w:b/>
          <w:bCs/>
          <w:lang w:eastAsia="es-CO"/>
        </w:rPr>
        <w:lastRenderedPageBreak/>
        <w:t>Características</w:t>
      </w:r>
    </w:p>
    <w:p w:rsidR="00196672" w:rsidRPr="00196672" w:rsidRDefault="00196672" w:rsidP="00196672">
      <w:pPr>
        <w:spacing w:before="100" w:beforeAutospacing="1" w:after="100" w:afterAutospacing="1" w:line="240" w:lineRule="auto"/>
        <w:rPr>
          <w:rFonts w:ascii="Arial" w:eastAsia="Times New Roman" w:hAnsi="Arial" w:cs="Arial"/>
          <w:b/>
          <w:bCs/>
          <w:lang w:eastAsia="es-CO"/>
        </w:rPr>
      </w:pPr>
      <w:r w:rsidRPr="00196672">
        <w:rPr>
          <w:rFonts w:ascii="Arial" w:eastAsia="Times New Roman" w:hAnsi="Arial" w:cs="Arial"/>
          <w:b/>
          <w:bCs/>
          <w:lang w:eastAsia="es-CO"/>
        </w:rPr>
        <w:t>Herramienta de grafo de distribución</w:t>
      </w:r>
    </w:p>
    <w:p w:rsidR="00196672" w:rsidRPr="00196672" w:rsidRDefault="00196672" w:rsidP="006E643F">
      <w:pPr>
        <w:numPr>
          <w:ilvl w:val="0"/>
          <w:numId w:val="5"/>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 xml:space="preserve">Actualiza gráficamente un grafo de distribución independiente de material. </w:t>
      </w:r>
    </w:p>
    <w:p w:rsidR="00196672" w:rsidRPr="00196672" w:rsidRDefault="00196672" w:rsidP="006E643F">
      <w:pPr>
        <w:numPr>
          <w:ilvl w:val="0"/>
          <w:numId w:val="5"/>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 xml:space="preserve">Define más de una fuente de aprovisionamiento para un centro de distribución. </w:t>
      </w:r>
    </w:p>
    <w:p w:rsidR="00196672" w:rsidRPr="00196672" w:rsidRDefault="00196672" w:rsidP="006E643F">
      <w:pPr>
        <w:numPr>
          <w:ilvl w:val="0"/>
          <w:numId w:val="5"/>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 xml:space="preserve">Muestra tipos de nodo, centros de producción, almacenes centralizados y centros de distribución de cliente como iconos gráficos. </w:t>
      </w:r>
    </w:p>
    <w:p w:rsidR="00196672" w:rsidRPr="00196672" w:rsidRDefault="00196672" w:rsidP="006E643F">
      <w:pPr>
        <w:numPr>
          <w:ilvl w:val="0"/>
          <w:numId w:val="5"/>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Permite visualizar y modificar:</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xml:space="preserve">- La </w:t>
      </w:r>
      <w:r w:rsidR="0008108D">
        <w:rPr>
          <w:rFonts w:ascii="Arial" w:hAnsi="Arial" w:cs="Arial"/>
          <w:lang w:eastAsia="es-CO"/>
        </w:rPr>
        <w:t>información</w:t>
      </w:r>
      <w:r w:rsidRPr="00196672">
        <w:rPr>
          <w:rFonts w:ascii="Arial" w:hAnsi="Arial" w:cs="Arial"/>
          <w:lang w:eastAsia="es-CO"/>
        </w:rPr>
        <w:t xml:space="preserve"> detallada de regulación por cuotas</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El derecho preferente de suministro</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Los tamaños de lote máximos y mínimos</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La cantidad máxima</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El plazo de entrega previsto</w:t>
      </w:r>
    </w:p>
    <w:p w:rsidR="00196672" w:rsidRPr="00196672" w:rsidRDefault="00196672" w:rsidP="00196672">
      <w:pPr>
        <w:pStyle w:val="Sinespaciado"/>
        <w:rPr>
          <w:rFonts w:ascii="Arial" w:hAnsi="Arial" w:cs="Arial"/>
          <w:lang w:eastAsia="es-CO"/>
        </w:rPr>
      </w:pPr>
      <w:r w:rsidRPr="00196672">
        <w:rPr>
          <w:rFonts w:ascii="Arial" w:hAnsi="Arial" w:cs="Arial"/>
          <w:lang w:eastAsia="es-CO"/>
        </w:rPr>
        <w:t>- El inventario actual y la situación en tránsito</w:t>
      </w:r>
    </w:p>
    <w:p w:rsidR="00196672" w:rsidRPr="00196672" w:rsidRDefault="00196672" w:rsidP="00196672">
      <w:pPr>
        <w:spacing w:before="100" w:beforeAutospacing="1" w:after="100" w:afterAutospacing="1" w:line="240" w:lineRule="auto"/>
        <w:rPr>
          <w:rFonts w:ascii="Arial" w:eastAsia="Times New Roman" w:hAnsi="Arial" w:cs="Arial"/>
          <w:b/>
          <w:bCs/>
          <w:lang w:eastAsia="es-CO"/>
        </w:rPr>
      </w:pPr>
      <w:r w:rsidRPr="00196672">
        <w:rPr>
          <w:rFonts w:ascii="Arial" w:eastAsia="Times New Roman" w:hAnsi="Arial" w:cs="Arial"/>
          <w:b/>
          <w:bCs/>
          <w:lang w:eastAsia="es-CO"/>
        </w:rPr>
        <w:t>Planificación de necesidades de distribución</w:t>
      </w:r>
    </w:p>
    <w:p w:rsidR="00196672" w:rsidRPr="00196672" w:rsidRDefault="00196672" w:rsidP="006E643F">
      <w:pPr>
        <w:numPr>
          <w:ilvl w:val="0"/>
          <w:numId w:val="6"/>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 xml:space="preserve">Genera solicitudes de pedido de traslado entre emplazamientos. </w:t>
      </w:r>
    </w:p>
    <w:p w:rsidR="00196672" w:rsidRPr="00196672" w:rsidRDefault="00196672" w:rsidP="006E643F">
      <w:pPr>
        <w:numPr>
          <w:ilvl w:val="0"/>
          <w:numId w:val="6"/>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 xml:space="preserve">Tiene en cuenta los stocks de seguridad temporales cuando se calcula el stock de reposición. </w:t>
      </w:r>
    </w:p>
    <w:p w:rsidR="00196672" w:rsidRDefault="00196672" w:rsidP="006E643F">
      <w:pPr>
        <w:numPr>
          <w:ilvl w:val="0"/>
          <w:numId w:val="6"/>
        </w:numPr>
        <w:spacing w:before="100" w:beforeAutospacing="1" w:after="100" w:afterAutospacing="1" w:line="240" w:lineRule="auto"/>
        <w:rPr>
          <w:rFonts w:ascii="Arial" w:eastAsia="Times New Roman" w:hAnsi="Arial" w:cs="Arial"/>
          <w:lang w:eastAsia="es-CO"/>
        </w:rPr>
      </w:pPr>
      <w:r w:rsidRPr="00196672">
        <w:rPr>
          <w:rFonts w:ascii="Arial" w:eastAsia="Times New Roman" w:hAnsi="Arial" w:cs="Arial"/>
          <w:lang w:eastAsia="es-CO"/>
        </w:rPr>
        <w:t>Inicia procesos de planificación en un proced</w:t>
      </w:r>
      <w:r w:rsidR="0008108D">
        <w:rPr>
          <w:rFonts w:ascii="Arial" w:eastAsia="Times New Roman" w:hAnsi="Arial" w:cs="Arial"/>
          <w:lang w:eastAsia="es-CO"/>
        </w:rPr>
        <w:t xml:space="preserve">imiento por cambio neto o en un </w:t>
      </w:r>
      <w:r w:rsidRPr="00196672">
        <w:rPr>
          <w:rFonts w:ascii="Arial" w:eastAsia="Times New Roman" w:hAnsi="Arial" w:cs="Arial"/>
          <w:lang w:eastAsia="es-CO"/>
        </w:rPr>
        <w:t>modo de planificación regenerativa.</w:t>
      </w:r>
      <w:r w:rsidR="0008108D" w:rsidRPr="0008108D">
        <w:rPr>
          <w:rFonts w:ascii="Arial" w:hAnsi="Arial" w:cs="Arial"/>
          <w:b/>
          <w:noProof/>
          <w:lang w:eastAsia="es-CO"/>
        </w:rPr>
        <w:t xml:space="preserve"> </w:t>
      </w:r>
      <w:r w:rsidR="007A4AEF">
        <w:rPr>
          <w:rFonts w:ascii="Arial" w:hAnsi="Arial" w:cs="Arial"/>
          <w:b/>
          <w:noProof/>
          <w:lang w:eastAsia="es-CO"/>
        </w:rPr>
        <w:drawing>
          <wp:inline distT="0" distB="0" distL="0" distR="0">
            <wp:extent cx="5527040" cy="3502660"/>
            <wp:effectExtent l="19050" t="0" r="0" b="0"/>
            <wp:docPr id="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5527040" cy="3502660"/>
                    </a:xfrm>
                    <a:prstGeom prst="rect">
                      <a:avLst/>
                    </a:prstGeom>
                    <a:noFill/>
                    <a:ln w="9525">
                      <a:noFill/>
                      <a:miter lim="800000"/>
                      <a:headEnd/>
                      <a:tailEnd/>
                    </a:ln>
                  </pic:spPr>
                </pic:pic>
              </a:graphicData>
            </a:graphic>
          </wp:inline>
        </w:drawing>
      </w:r>
    </w:p>
    <w:p w:rsidR="00196672" w:rsidRDefault="00196672" w:rsidP="00196672">
      <w:pPr>
        <w:ind w:left="360"/>
        <w:rPr>
          <w:rFonts w:ascii="Arial" w:hAnsi="Arial" w:cs="Arial"/>
          <w:b/>
        </w:rPr>
      </w:pPr>
    </w:p>
    <w:p w:rsidR="00D31085" w:rsidRDefault="00D31085" w:rsidP="00196672">
      <w:pPr>
        <w:ind w:left="360"/>
        <w:rPr>
          <w:rFonts w:ascii="Arial" w:hAnsi="Arial" w:cs="Arial"/>
          <w:b/>
        </w:rPr>
      </w:pPr>
    </w:p>
    <w:p w:rsidR="00D31085" w:rsidRPr="00D31085" w:rsidRDefault="00D31085" w:rsidP="006E643F">
      <w:pPr>
        <w:pStyle w:val="NormalWeb"/>
        <w:numPr>
          <w:ilvl w:val="0"/>
          <w:numId w:val="3"/>
        </w:numPr>
        <w:rPr>
          <w:rFonts w:ascii="Arial" w:hAnsi="Arial" w:cs="Arial"/>
          <w:sz w:val="22"/>
          <w:szCs w:val="22"/>
          <w:lang w:val="es-ES"/>
        </w:rPr>
      </w:pPr>
      <w:r w:rsidRPr="00D31085">
        <w:rPr>
          <w:rFonts w:ascii="Arial" w:hAnsi="Arial" w:cs="Arial"/>
          <w:b/>
          <w:bCs/>
          <w:sz w:val="22"/>
          <w:szCs w:val="22"/>
          <w:lang w:val="es-ES"/>
        </w:rPr>
        <w:lastRenderedPageBreak/>
        <w:t>TRANSFORMACIONES EN EL SECTOR DE LA DISTRIBUCIÓN.</w:t>
      </w:r>
    </w:p>
    <w:p w:rsidR="00D31085" w:rsidRPr="00D31085" w:rsidRDefault="00D31085" w:rsidP="00D31085">
      <w:pPr>
        <w:pStyle w:val="NormalWeb"/>
        <w:rPr>
          <w:rFonts w:ascii="Arial" w:hAnsi="Arial" w:cs="Arial"/>
          <w:sz w:val="22"/>
          <w:szCs w:val="22"/>
          <w:lang w:val="es-ES"/>
        </w:rPr>
      </w:pPr>
      <w:r w:rsidRPr="00D31085">
        <w:rPr>
          <w:rFonts w:ascii="Arial" w:hAnsi="Arial" w:cs="Arial"/>
          <w:sz w:val="22"/>
          <w:szCs w:val="22"/>
          <w:lang w:val="es-ES"/>
        </w:rPr>
        <w:t>En los últimos años el sector de la distribución ha sufrido transformaciones: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Desplazamiento de poder del fabricante a la distribución.</w:t>
      </w:r>
    </w:p>
    <w:p w:rsidR="00D31085" w:rsidRPr="00D31085" w:rsidRDefault="00D31085" w:rsidP="006E643F">
      <w:pPr>
        <w:pStyle w:val="Sinespaciado"/>
        <w:numPr>
          <w:ilvl w:val="0"/>
          <w:numId w:val="7"/>
        </w:numPr>
        <w:rPr>
          <w:rFonts w:ascii="Arial" w:hAnsi="Arial" w:cs="Arial"/>
        </w:rPr>
      </w:pPr>
      <w:r w:rsidRPr="00D31085">
        <w:rPr>
          <w:rFonts w:ascii="Arial" w:hAnsi="Arial" w:cs="Arial"/>
        </w:rPr>
        <w:t>Desarrollo de las grandes superficies (impacto creciente en todas sus vertientes de comercio asociado o integrado).</w:t>
      </w:r>
    </w:p>
    <w:p w:rsidR="00D31085" w:rsidRPr="00D31085" w:rsidRDefault="00D31085" w:rsidP="006E643F">
      <w:pPr>
        <w:pStyle w:val="Sinespaciado"/>
        <w:numPr>
          <w:ilvl w:val="0"/>
          <w:numId w:val="7"/>
        </w:numPr>
        <w:rPr>
          <w:rFonts w:ascii="Arial" w:hAnsi="Arial" w:cs="Arial"/>
        </w:rPr>
      </w:pPr>
      <w:r w:rsidRPr="00D31085">
        <w:rPr>
          <w:rFonts w:ascii="Arial" w:hAnsi="Arial" w:cs="Arial"/>
        </w:rPr>
        <w:t>Desaparición de tiendas tradicionales. Las que no han desaparecido le harán la competencia ofreciendo productos especializados.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Concentración del volumen de ventas en establecimientos de gran tamaño.</w:t>
      </w:r>
    </w:p>
    <w:p w:rsidR="00D31085" w:rsidRPr="00D31085" w:rsidRDefault="00D31085" w:rsidP="006E643F">
      <w:pPr>
        <w:pStyle w:val="Sinespaciado"/>
        <w:numPr>
          <w:ilvl w:val="0"/>
          <w:numId w:val="7"/>
        </w:numPr>
        <w:rPr>
          <w:rFonts w:ascii="Arial" w:hAnsi="Arial" w:cs="Arial"/>
        </w:rPr>
      </w:pPr>
      <w:r w:rsidRPr="00D31085">
        <w:rPr>
          <w:rFonts w:ascii="Arial" w:hAnsi="Arial" w:cs="Arial"/>
        </w:rPr>
        <w:t>Importante desarrollo de la franquicia, sobre todo en los países desarrollados.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Mutación rápida y profunda en el concepto de “familia”. En los últimos años han ido apareciendo unos segmentos de consumidores, los cuales tiene hábitos de consumo muy diferentes con lo que se tendrán que conocer todos los gustos de los consumidores.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Aceleración de los cambios por factores políticos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Aparición y desarrollo de nuevas fórmulas comerciales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Escala de valores muy diferentes según segmentos.</w:t>
      </w:r>
    </w:p>
    <w:p w:rsidR="00D31085" w:rsidRPr="00D31085" w:rsidRDefault="00D31085" w:rsidP="006E643F">
      <w:pPr>
        <w:pStyle w:val="Sinespaciado"/>
        <w:numPr>
          <w:ilvl w:val="0"/>
          <w:numId w:val="7"/>
        </w:numPr>
        <w:rPr>
          <w:rFonts w:ascii="Arial" w:hAnsi="Arial" w:cs="Arial"/>
        </w:rPr>
      </w:pPr>
      <w:r w:rsidRPr="00D31085">
        <w:rPr>
          <w:rFonts w:ascii="Arial" w:hAnsi="Arial" w:cs="Arial"/>
        </w:rPr>
        <w:t>Variación del reparto del presupuesto familiar anual en bienes y servicios</w:t>
      </w:r>
    </w:p>
    <w:p w:rsidR="00D31085" w:rsidRPr="00D31085" w:rsidRDefault="00D31085" w:rsidP="00D31085">
      <w:pPr>
        <w:pStyle w:val="NormalWeb"/>
        <w:rPr>
          <w:rFonts w:ascii="Arial" w:hAnsi="Arial" w:cs="Arial"/>
          <w:sz w:val="22"/>
          <w:szCs w:val="22"/>
          <w:lang w:val="es-ES"/>
        </w:rPr>
      </w:pPr>
      <w:r w:rsidRPr="00D31085">
        <w:rPr>
          <w:rFonts w:ascii="Arial" w:hAnsi="Arial" w:cs="Arial"/>
          <w:b/>
          <w:bCs/>
          <w:i/>
          <w:iCs/>
          <w:sz w:val="22"/>
          <w:szCs w:val="22"/>
          <w:lang w:val="es-ES"/>
        </w:rPr>
        <w:t>* Segmento de consumidores, Características:</w:t>
      </w:r>
    </w:p>
    <w:p w:rsidR="00D31085" w:rsidRPr="00D31085" w:rsidRDefault="00D31085" w:rsidP="00D31085">
      <w:pPr>
        <w:pStyle w:val="Sinespaciado"/>
        <w:rPr>
          <w:rFonts w:ascii="Arial" w:hAnsi="Arial" w:cs="Arial"/>
        </w:rPr>
      </w:pPr>
      <w:r w:rsidRPr="00D31085">
        <w:rPr>
          <w:rFonts w:ascii="Arial" w:hAnsi="Arial" w:cs="Arial"/>
        </w:rPr>
        <w:t>1. Hogares unifamiliares formados por solteros:</w:t>
      </w:r>
    </w:p>
    <w:p w:rsidR="00D31085" w:rsidRPr="00D31085" w:rsidRDefault="00D31085" w:rsidP="00D31085">
      <w:pPr>
        <w:pStyle w:val="Sinespaciado"/>
        <w:rPr>
          <w:rFonts w:ascii="Arial" w:hAnsi="Arial" w:cs="Arial"/>
        </w:rPr>
      </w:pPr>
    </w:p>
    <w:p w:rsidR="00D31085" w:rsidRPr="00D31085" w:rsidRDefault="00D31085" w:rsidP="00D31085">
      <w:pPr>
        <w:pStyle w:val="Sinespaciado"/>
        <w:rPr>
          <w:rFonts w:ascii="Arial" w:hAnsi="Arial" w:cs="Arial"/>
        </w:rPr>
      </w:pPr>
      <w:r w:rsidRPr="00D31085">
        <w:rPr>
          <w:rFonts w:ascii="Arial" w:hAnsi="Arial" w:cs="Arial"/>
        </w:rPr>
        <w:t>- El tamaño de los productos es pequeño o individuales.</w:t>
      </w:r>
    </w:p>
    <w:p w:rsidR="00D31085" w:rsidRPr="00D31085" w:rsidRDefault="00D31085" w:rsidP="00D31085">
      <w:pPr>
        <w:pStyle w:val="Sinespaciado"/>
        <w:rPr>
          <w:rFonts w:ascii="Arial" w:hAnsi="Arial" w:cs="Arial"/>
        </w:rPr>
      </w:pPr>
      <w:r w:rsidRPr="00D31085">
        <w:rPr>
          <w:rFonts w:ascii="Arial" w:hAnsi="Arial" w:cs="Arial"/>
        </w:rPr>
        <w:t>- Platos preparados de todo tipo.</w:t>
      </w:r>
    </w:p>
    <w:p w:rsidR="00D31085" w:rsidRPr="00D31085" w:rsidRDefault="00D31085" w:rsidP="00D31085">
      <w:pPr>
        <w:pStyle w:val="Sinespaciado"/>
        <w:rPr>
          <w:rFonts w:ascii="Arial" w:hAnsi="Arial" w:cs="Arial"/>
        </w:rPr>
      </w:pPr>
    </w:p>
    <w:p w:rsidR="00D31085" w:rsidRPr="00D31085" w:rsidRDefault="00D31085" w:rsidP="00D31085">
      <w:pPr>
        <w:pStyle w:val="Sinespaciado"/>
        <w:rPr>
          <w:rFonts w:ascii="Arial" w:hAnsi="Arial" w:cs="Arial"/>
        </w:rPr>
      </w:pPr>
      <w:r w:rsidRPr="00D31085">
        <w:rPr>
          <w:rFonts w:ascii="Arial" w:hAnsi="Arial" w:cs="Arial"/>
        </w:rPr>
        <w:t>2. Hogares unifamiliares formados por viudos y/o consumidores mayores de 65 años:</w:t>
      </w:r>
    </w:p>
    <w:p w:rsidR="00D31085" w:rsidRPr="00D31085" w:rsidRDefault="00D31085" w:rsidP="00D31085">
      <w:pPr>
        <w:pStyle w:val="Sinespaciado"/>
        <w:rPr>
          <w:rFonts w:ascii="Arial" w:hAnsi="Arial" w:cs="Arial"/>
        </w:rPr>
      </w:pPr>
    </w:p>
    <w:p w:rsidR="00D31085" w:rsidRPr="00D31085" w:rsidRDefault="00D31085" w:rsidP="00D31085">
      <w:pPr>
        <w:pStyle w:val="Sinespaciado"/>
        <w:rPr>
          <w:rFonts w:ascii="Arial" w:hAnsi="Arial" w:cs="Arial"/>
        </w:rPr>
      </w:pPr>
      <w:r w:rsidRPr="00D31085">
        <w:rPr>
          <w:rFonts w:ascii="Arial" w:hAnsi="Arial" w:cs="Arial"/>
        </w:rPr>
        <w:t>- Son fieles a la tienda.</w:t>
      </w:r>
    </w:p>
    <w:p w:rsidR="00D31085" w:rsidRPr="00D31085" w:rsidRDefault="00D31085" w:rsidP="00D31085">
      <w:pPr>
        <w:pStyle w:val="Sinespaciado"/>
        <w:rPr>
          <w:rFonts w:ascii="Arial" w:hAnsi="Arial" w:cs="Arial"/>
        </w:rPr>
      </w:pPr>
      <w:r w:rsidRPr="00D31085">
        <w:rPr>
          <w:rFonts w:ascii="Arial" w:hAnsi="Arial" w:cs="Arial"/>
        </w:rPr>
        <w:t>- Tienen mayor tiempo libre.</w:t>
      </w:r>
    </w:p>
    <w:p w:rsidR="00D31085" w:rsidRPr="00D31085" w:rsidRDefault="00D31085" w:rsidP="00D31085">
      <w:pPr>
        <w:pStyle w:val="Sinespaciado"/>
        <w:rPr>
          <w:rFonts w:ascii="Arial" w:hAnsi="Arial" w:cs="Arial"/>
        </w:rPr>
      </w:pPr>
      <w:r w:rsidRPr="00D31085">
        <w:rPr>
          <w:rFonts w:ascii="Arial" w:hAnsi="Arial" w:cs="Arial"/>
        </w:rPr>
        <w:t>- Agradecen las intenciones o el trato personalizado.</w:t>
      </w:r>
    </w:p>
    <w:p w:rsidR="00D31085" w:rsidRPr="00D31085" w:rsidRDefault="00D31085" w:rsidP="00D31085">
      <w:pPr>
        <w:pStyle w:val="Sinespaciado"/>
        <w:rPr>
          <w:rFonts w:ascii="Arial" w:hAnsi="Arial" w:cs="Arial"/>
        </w:rPr>
      </w:pPr>
    </w:p>
    <w:p w:rsidR="00D31085" w:rsidRPr="00D31085" w:rsidRDefault="00D31085" w:rsidP="00D31085">
      <w:pPr>
        <w:pStyle w:val="Sinespaciado"/>
        <w:rPr>
          <w:rFonts w:ascii="Arial" w:hAnsi="Arial" w:cs="Arial"/>
        </w:rPr>
      </w:pPr>
      <w:r w:rsidRPr="00D31085">
        <w:rPr>
          <w:rFonts w:ascii="Arial" w:hAnsi="Arial" w:cs="Arial"/>
        </w:rPr>
        <w:t>3. Familia moderna:</w:t>
      </w:r>
    </w:p>
    <w:p w:rsidR="00D31085" w:rsidRPr="00D31085" w:rsidRDefault="00D31085" w:rsidP="00D31085">
      <w:pPr>
        <w:pStyle w:val="Sinespaciado"/>
        <w:rPr>
          <w:rFonts w:ascii="Arial" w:hAnsi="Arial" w:cs="Arial"/>
        </w:rPr>
      </w:pPr>
    </w:p>
    <w:p w:rsidR="00D31085" w:rsidRPr="00D31085" w:rsidRDefault="00D31085" w:rsidP="00D31085">
      <w:pPr>
        <w:pStyle w:val="Sinespaciado"/>
        <w:rPr>
          <w:rFonts w:ascii="Arial" w:hAnsi="Arial" w:cs="Arial"/>
        </w:rPr>
      </w:pPr>
      <w:r w:rsidRPr="00D31085">
        <w:rPr>
          <w:rFonts w:ascii="Arial" w:hAnsi="Arial" w:cs="Arial"/>
        </w:rPr>
        <w:t>- No tienen tiempo de buscar las mejores ofertas y precios.</w:t>
      </w:r>
    </w:p>
    <w:p w:rsidR="00D31085" w:rsidRPr="00D31085" w:rsidRDefault="00D31085" w:rsidP="00D31085">
      <w:pPr>
        <w:pStyle w:val="Sinespaciado"/>
        <w:rPr>
          <w:rFonts w:ascii="Arial" w:hAnsi="Arial" w:cs="Arial"/>
        </w:rPr>
      </w:pPr>
      <w:r w:rsidRPr="00D31085">
        <w:rPr>
          <w:rFonts w:ascii="Arial" w:hAnsi="Arial" w:cs="Arial"/>
        </w:rPr>
        <w:t>- Realizarán las compras en grandes superficies, pocas veces y en grandes cantidades.</w:t>
      </w:r>
    </w:p>
    <w:p w:rsidR="00D31085" w:rsidRPr="00D31085" w:rsidRDefault="00D31085" w:rsidP="00D31085">
      <w:pPr>
        <w:pStyle w:val="Sinespaciado"/>
        <w:rPr>
          <w:rFonts w:ascii="Arial" w:hAnsi="Arial" w:cs="Arial"/>
        </w:rPr>
      </w:pPr>
      <w:r w:rsidRPr="00D31085">
        <w:rPr>
          <w:rFonts w:ascii="Arial" w:hAnsi="Arial" w:cs="Arial"/>
        </w:rPr>
        <w:t>- Elige una tienda y no cambian fácilmente.</w:t>
      </w:r>
    </w:p>
    <w:p w:rsidR="00D31085" w:rsidRPr="00D31085" w:rsidRDefault="00D31085" w:rsidP="00D31085">
      <w:pPr>
        <w:pStyle w:val="Sinespaciado"/>
        <w:rPr>
          <w:rFonts w:ascii="Arial" w:hAnsi="Arial" w:cs="Arial"/>
        </w:rPr>
      </w:pPr>
      <w:r w:rsidRPr="00D31085">
        <w:rPr>
          <w:rFonts w:ascii="Arial" w:hAnsi="Arial" w:cs="Arial"/>
        </w:rPr>
        <w:t>- Prefieren ahorrar tiempo.</w:t>
      </w:r>
    </w:p>
    <w:p w:rsidR="00D31085" w:rsidRPr="00D31085" w:rsidRDefault="00D31085" w:rsidP="00D31085">
      <w:pPr>
        <w:pStyle w:val="Sinespaciado"/>
        <w:rPr>
          <w:rFonts w:ascii="Arial" w:hAnsi="Arial" w:cs="Arial"/>
        </w:rPr>
      </w:pPr>
      <w:r w:rsidRPr="00D31085">
        <w:rPr>
          <w:rFonts w:ascii="Arial" w:hAnsi="Arial" w:cs="Arial"/>
        </w:rPr>
        <w:t>- Recursos destinados a vivienda, ocio y comida.</w:t>
      </w:r>
    </w:p>
    <w:p w:rsidR="00D31085" w:rsidRPr="00D31085" w:rsidRDefault="00D31085" w:rsidP="00D31085">
      <w:pPr>
        <w:pStyle w:val="Sinespaciado"/>
        <w:rPr>
          <w:rFonts w:ascii="Arial" w:hAnsi="Arial" w:cs="Arial"/>
        </w:rPr>
      </w:pPr>
      <w:r w:rsidRPr="00D31085">
        <w:rPr>
          <w:rFonts w:ascii="Arial" w:hAnsi="Arial" w:cs="Arial"/>
        </w:rPr>
        <w:t>- Platos preparados</w:t>
      </w:r>
    </w:p>
    <w:p w:rsidR="00D31085" w:rsidRPr="00D31085" w:rsidRDefault="00D31085" w:rsidP="00D31085">
      <w:pPr>
        <w:pStyle w:val="Sinespaciado"/>
        <w:rPr>
          <w:rFonts w:ascii="Arial" w:hAnsi="Arial" w:cs="Arial"/>
        </w:rPr>
      </w:pPr>
      <w:r w:rsidRPr="00D31085">
        <w:rPr>
          <w:rFonts w:ascii="Arial" w:hAnsi="Arial" w:cs="Arial"/>
        </w:rPr>
        <w:t>- Compra tanto la mujer como el hombre.</w:t>
      </w:r>
    </w:p>
    <w:p w:rsidR="00D31085" w:rsidRPr="00D31085" w:rsidRDefault="00D31085" w:rsidP="00D31085">
      <w:pPr>
        <w:pStyle w:val="Sinespaciado"/>
        <w:rPr>
          <w:rFonts w:ascii="Arial" w:hAnsi="Arial" w:cs="Arial"/>
        </w:rPr>
      </w:pPr>
      <w:r w:rsidRPr="00D31085">
        <w:rPr>
          <w:rFonts w:ascii="Arial" w:hAnsi="Arial" w:cs="Arial"/>
        </w:rPr>
        <w:t>- Mayor movilidad en los desplazamientos</w:t>
      </w:r>
    </w:p>
    <w:p w:rsidR="0008108D" w:rsidRDefault="0008108D" w:rsidP="00D31085">
      <w:pPr>
        <w:pStyle w:val="Sinespaciado"/>
        <w:rPr>
          <w:b/>
        </w:rPr>
      </w:pPr>
    </w:p>
    <w:p w:rsidR="00D31085" w:rsidRDefault="00D31085" w:rsidP="00D31085">
      <w:pPr>
        <w:pStyle w:val="NormalWeb"/>
        <w:rPr>
          <w:rFonts w:ascii="Arial" w:hAnsi="Arial" w:cs="Arial"/>
          <w:b/>
          <w:bCs/>
          <w:color w:val="000000"/>
          <w:sz w:val="15"/>
          <w:szCs w:val="15"/>
          <w:lang w:val="es-ES"/>
        </w:rPr>
      </w:pPr>
    </w:p>
    <w:p w:rsidR="00D31085" w:rsidRDefault="00D31085" w:rsidP="00D31085">
      <w:pPr>
        <w:pStyle w:val="NormalWeb"/>
        <w:rPr>
          <w:rFonts w:ascii="Arial" w:hAnsi="Arial" w:cs="Arial"/>
          <w:b/>
          <w:bCs/>
          <w:color w:val="000000"/>
          <w:sz w:val="15"/>
          <w:szCs w:val="15"/>
          <w:lang w:val="es-ES"/>
        </w:rPr>
      </w:pPr>
    </w:p>
    <w:p w:rsidR="00D31085" w:rsidRDefault="00D31085" w:rsidP="00D31085">
      <w:pPr>
        <w:pStyle w:val="NormalWeb"/>
        <w:rPr>
          <w:rFonts w:ascii="Arial" w:hAnsi="Arial" w:cs="Arial"/>
          <w:b/>
          <w:bCs/>
          <w:color w:val="000000"/>
          <w:sz w:val="22"/>
          <w:szCs w:val="22"/>
          <w:lang w:val="es-ES"/>
        </w:rPr>
      </w:pPr>
    </w:p>
    <w:p w:rsidR="00D31085" w:rsidRPr="00D31085" w:rsidRDefault="00D31085" w:rsidP="00D31085">
      <w:pPr>
        <w:pStyle w:val="NormalWeb"/>
        <w:rPr>
          <w:rFonts w:ascii="Arial" w:hAnsi="Arial" w:cs="Arial"/>
          <w:color w:val="000000"/>
          <w:sz w:val="22"/>
          <w:szCs w:val="22"/>
          <w:lang w:val="es-ES"/>
        </w:rPr>
      </w:pPr>
      <w:r w:rsidRPr="00D31085">
        <w:rPr>
          <w:rFonts w:ascii="Arial" w:hAnsi="Arial" w:cs="Arial"/>
          <w:b/>
          <w:bCs/>
          <w:color w:val="000000"/>
          <w:sz w:val="22"/>
          <w:szCs w:val="22"/>
          <w:lang w:val="es-ES"/>
        </w:rPr>
        <w:lastRenderedPageBreak/>
        <w:t>LA INTEGRACIÓN Y LA CONCENTRACIÓN</w:t>
      </w:r>
    </w:p>
    <w:p w:rsidR="00D31085" w:rsidRPr="00D31085" w:rsidRDefault="00D31085" w:rsidP="00D31085">
      <w:pPr>
        <w:pStyle w:val="NormalWeb"/>
        <w:jc w:val="both"/>
        <w:rPr>
          <w:rFonts w:ascii="Arial" w:hAnsi="Arial" w:cs="Arial"/>
          <w:color w:val="000000"/>
          <w:sz w:val="22"/>
          <w:szCs w:val="22"/>
          <w:lang w:val="es-ES"/>
        </w:rPr>
      </w:pPr>
      <w:r w:rsidRPr="00D31085">
        <w:rPr>
          <w:rFonts w:ascii="Arial" w:hAnsi="Arial" w:cs="Arial"/>
          <w:color w:val="000000"/>
          <w:sz w:val="22"/>
          <w:szCs w:val="22"/>
          <w:lang w:val="es-ES"/>
        </w:rPr>
        <w:t>La Integración horizontal es aquella que se produce por la unión de varias empresas que pertenecen al mismo nivel (minorista con minorista; mayorista con mayorista, etc.).</w:t>
      </w:r>
    </w:p>
    <w:p w:rsidR="00D31085" w:rsidRPr="00D31085" w:rsidRDefault="00D31085" w:rsidP="00D31085">
      <w:pPr>
        <w:pStyle w:val="NormalWeb"/>
        <w:jc w:val="both"/>
        <w:rPr>
          <w:rFonts w:ascii="Arial" w:hAnsi="Arial" w:cs="Arial"/>
          <w:color w:val="000000"/>
          <w:sz w:val="22"/>
          <w:szCs w:val="22"/>
          <w:lang w:val="es-ES"/>
        </w:rPr>
      </w:pPr>
      <w:r w:rsidRPr="00D31085">
        <w:rPr>
          <w:rFonts w:ascii="Arial" w:hAnsi="Arial" w:cs="Arial"/>
          <w:color w:val="000000"/>
          <w:sz w:val="22"/>
          <w:szCs w:val="22"/>
          <w:lang w:val="es-ES"/>
        </w:rPr>
        <w:t>La Integración vertical es aquellas que se produce por la unión de varias empresas que pertenecen a distinto nivel (minorista con mayorista; mayorista con fabricante, etc.)</w:t>
      </w:r>
    </w:p>
    <w:p w:rsidR="00D31085" w:rsidRPr="00D31085" w:rsidRDefault="00D31085" w:rsidP="006E643F">
      <w:pPr>
        <w:pStyle w:val="NormalWeb"/>
        <w:numPr>
          <w:ilvl w:val="0"/>
          <w:numId w:val="8"/>
        </w:numPr>
        <w:jc w:val="both"/>
        <w:rPr>
          <w:rFonts w:ascii="Arial" w:hAnsi="Arial" w:cs="Arial"/>
          <w:color w:val="000000"/>
          <w:sz w:val="22"/>
          <w:szCs w:val="22"/>
          <w:lang w:val="es-ES"/>
        </w:rPr>
      </w:pPr>
      <w:r w:rsidRPr="00D31085">
        <w:rPr>
          <w:rFonts w:ascii="Arial" w:hAnsi="Arial" w:cs="Arial"/>
          <w:color w:val="000000"/>
          <w:sz w:val="22"/>
          <w:szCs w:val="22"/>
          <w:lang w:val="es-ES"/>
        </w:rPr>
        <w:t>Se da una tendencia a la concentración, tanto en la producción como en la distribución (sector alimentos, cosméticos).</w:t>
      </w:r>
    </w:p>
    <w:p w:rsidR="00D31085" w:rsidRPr="00D31085" w:rsidRDefault="00D31085" w:rsidP="00D31085">
      <w:pPr>
        <w:pStyle w:val="NormalWeb"/>
        <w:jc w:val="both"/>
        <w:rPr>
          <w:rFonts w:ascii="Arial" w:hAnsi="Arial" w:cs="Arial"/>
          <w:color w:val="000000"/>
          <w:sz w:val="22"/>
          <w:szCs w:val="22"/>
          <w:lang w:val="es-ES"/>
        </w:rPr>
      </w:pPr>
      <w:r w:rsidRPr="00D31085">
        <w:rPr>
          <w:rFonts w:ascii="Arial" w:hAnsi="Arial" w:cs="Arial"/>
          <w:color w:val="000000"/>
          <w:sz w:val="22"/>
          <w:szCs w:val="22"/>
          <w:lang w:val="es-ES"/>
        </w:rPr>
        <w:t xml:space="preserve">En 1993 los 3 principales detallistas concentraban el 24% de las ventas minoristas en España. Los mercados lo ocupan muy pocas empresas. </w:t>
      </w:r>
    </w:p>
    <w:p w:rsidR="00D31085" w:rsidRPr="00D31085" w:rsidRDefault="00D31085" w:rsidP="006E643F">
      <w:pPr>
        <w:pStyle w:val="Sinespaciado"/>
        <w:numPr>
          <w:ilvl w:val="0"/>
          <w:numId w:val="9"/>
        </w:numPr>
        <w:rPr>
          <w:rFonts w:ascii="Arial" w:hAnsi="Arial" w:cs="Arial"/>
        </w:rPr>
      </w:pPr>
      <w:r w:rsidRPr="00D31085">
        <w:rPr>
          <w:rFonts w:ascii="Arial" w:hAnsi="Arial" w:cs="Arial"/>
        </w:rPr>
        <w:t>Traslado del poder de negociación a la gran distribución.</w:t>
      </w:r>
    </w:p>
    <w:p w:rsidR="00D31085" w:rsidRPr="00D31085" w:rsidRDefault="00D31085" w:rsidP="006E643F">
      <w:pPr>
        <w:pStyle w:val="Sinespaciado"/>
        <w:numPr>
          <w:ilvl w:val="0"/>
          <w:numId w:val="9"/>
        </w:numPr>
        <w:rPr>
          <w:rFonts w:ascii="Arial" w:hAnsi="Arial" w:cs="Arial"/>
        </w:rPr>
      </w:pPr>
      <w:r w:rsidRPr="00D31085">
        <w:rPr>
          <w:rFonts w:ascii="Arial" w:hAnsi="Arial" w:cs="Arial"/>
        </w:rPr>
        <w:t>La tendencia europea de integración y concentración pasa por:</w:t>
      </w:r>
    </w:p>
    <w:p w:rsidR="00D31085" w:rsidRPr="00D31085" w:rsidRDefault="00D31085" w:rsidP="006E643F">
      <w:pPr>
        <w:pStyle w:val="Sinespaciado"/>
        <w:numPr>
          <w:ilvl w:val="0"/>
          <w:numId w:val="9"/>
        </w:numPr>
        <w:rPr>
          <w:rFonts w:ascii="Arial" w:hAnsi="Arial" w:cs="Arial"/>
        </w:rPr>
      </w:pPr>
      <w:r w:rsidRPr="00D31085">
        <w:rPr>
          <w:rFonts w:ascii="Arial" w:hAnsi="Arial" w:cs="Arial"/>
        </w:rPr>
        <w:t>La consideración de los canales de distribución como entidades en sí mismas. Los miembros de un canal de distribución deben realizar una actividad coordinada. Esto implica que los diferentes miembros del canal compartan información (que va desde los clientes hacia arriba, hasta el fabricante). La información tiene que subir hasta arriba, hasta el fabricante.</w:t>
      </w:r>
    </w:p>
    <w:p w:rsidR="00D31085" w:rsidRPr="00D31085" w:rsidRDefault="00D31085" w:rsidP="006E643F">
      <w:pPr>
        <w:pStyle w:val="Sinespaciado"/>
        <w:numPr>
          <w:ilvl w:val="0"/>
          <w:numId w:val="9"/>
        </w:numPr>
        <w:rPr>
          <w:rFonts w:ascii="Arial" w:hAnsi="Arial" w:cs="Arial"/>
        </w:rPr>
      </w:pPr>
      <w:r w:rsidRPr="00D31085">
        <w:rPr>
          <w:rFonts w:ascii="Arial" w:hAnsi="Arial" w:cs="Arial"/>
        </w:rPr>
        <w:t>Incremento de la integración vertical en los canales de distribución, especialmente en los países del sur de la Unión Europea.</w:t>
      </w:r>
    </w:p>
    <w:p w:rsidR="00D31085" w:rsidRPr="00D31085" w:rsidRDefault="00D31085" w:rsidP="006E643F">
      <w:pPr>
        <w:pStyle w:val="Sinespaciado"/>
        <w:numPr>
          <w:ilvl w:val="0"/>
          <w:numId w:val="9"/>
        </w:numPr>
        <w:rPr>
          <w:rFonts w:ascii="Arial" w:hAnsi="Arial" w:cs="Arial"/>
        </w:rPr>
      </w:pPr>
      <w:r w:rsidRPr="00D31085">
        <w:rPr>
          <w:rFonts w:ascii="Arial" w:hAnsi="Arial" w:cs="Arial"/>
        </w:rPr>
        <w:t>Mayor integración de las actividades de distribución con otros servicios al consumidor.</w:t>
      </w:r>
    </w:p>
    <w:p w:rsidR="00D31085" w:rsidRPr="00D31085" w:rsidRDefault="00D31085" w:rsidP="006E643F">
      <w:pPr>
        <w:pStyle w:val="Sinespaciado"/>
        <w:numPr>
          <w:ilvl w:val="0"/>
          <w:numId w:val="9"/>
        </w:numPr>
        <w:rPr>
          <w:rFonts w:ascii="Arial" w:hAnsi="Arial" w:cs="Arial"/>
        </w:rPr>
      </w:pPr>
      <w:r w:rsidRPr="00D31085">
        <w:rPr>
          <w:rFonts w:ascii="Arial" w:hAnsi="Arial" w:cs="Arial"/>
        </w:rPr>
        <w:t>Aumento de los acuerdos de colaboración con los fabricantes.</w:t>
      </w:r>
    </w:p>
    <w:p w:rsidR="00D31085" w:rsidRPr="00D31085" w:rsidRDefault="00D31085" w:rsidP="006E643F">
      <w:pPr>
        <w:pStyle w:val="Sinespaciado"/>
        <w:numPr>
          <w:ilvl w:val="0"/>
          <w:numId w:val="9"/>
        </w:numPr>
        <w:rPr>
          <w:rFonts w:ascii="Arial" w:hAnsi="Arial" w:cs="Arial"/>
        </w:rPr>
      </w:pPr>
      <w:r w:rsidRPr="00D31085">
        <w:rPr>
          <w:rFonts w:ascii="Arial" w:hAnsi="Arial" w:cs="Arial"/>
        </w:rPr>
        <w:t>Expansión de los acuerdos entre los participantes en los canales y de la tendencia a la concentración empresarial</w:t>
      </w:r>
    </w:p>
    <w:p w:rsidR="00D31085" w:rsidRPr="00D31085" w:rsidRDefault="00D31085" w:rsidP="006E643F">
      <w:pPr>
        <w:pStyle w:val="Sinespaciado"/>
        <w:numPr>
          <w:ilvl w:val="0"/>
          <w:numId w:val="9"/>
        </w:numPr>
        <w:rPr>
          <w:rFonts w:ascii="Arial" w:hAnsi="Arial" w:cs="Arial"/>
        </w:rPr>
      </w:pPr>
      <w:r w:rsidRPr="00D31085">
        <w:rPr>
          <w:rFonts w:ascii="Arial" w:hAnsi="Arial" w:cs="Arial"/>
        </w:rPr>
        <w:t>Crecimiento de los controles de compra</w:t>
      </w:r>
    </w:p>
    <w:p w:rsidR="00D31085" w:rsidRPr="00D31085" w:rsidRDefault="00D31085" w:rsidP="006E643F">
      <w:pPr>
        <w:pStyle w:val="Sinespaciado"/>
        <w:numPr>
          <w:ilvl w:val="0"/>
          <w:numId w:val="9"/>
        </w:numPr>
        <w:rPr>
          <w:rFonts w:ascii="Arial" w:hAnsi="Arial" w:cs="Arial"/>
        </w:rPr>
      </w:pPr>
      <w:r w:rsidRPr="00D31085">
        <w:rPr>
          <w:rFonts w:ascii="Arial" w:hAnsi="Arial" w:cs="Arial"/>
        </w:rPr>
        <w:t>Crecimiento de los acuerdos entre la gran distribución europea y los grandes fabricante multinacionales.</w:t>
      </w:r>
    </w:p>
    <w:p w:rsidR="00D31085" w:rsidRPr="00D31085" w:rsidRDefault="00D31085" w:rsidP="006E643F">
      <w:pPr>
        <w:pStyle w:val="Sinespaciado"/>
        <w:numPr>
          <w:ilvl w:val="0"/>
          <w:numId w:val="9"/>
        </w:numPr>
        <w:rPr>
          <w:rFonts w:ascii="Arial" w:hAnsi="Arial" w:cs="Arial"/>
        </w:rPr>
      </w:pPr>
      <w:r w:rsidRPr="00D31085">
        <w:rPr>
          <w:rFonts w:ascii="Arial" w:hAnsi="Arial" w:cs="Arial"/>
        </w:rPr>
        <w:t>Incremento de la “dualización” del sistema de distribución comercial en la U. E. La dualización se refiere a la convivencia conjunta de grandes cadenas de distribución y el pequeño comercio.</w:t>
      </w:r>
    </w:p>
    <w:p w:rsidR="00D31085" w:rsidRPr="00D31085" w:rsidRDefault="00D31085" w:rsidP="006E643F">
      <w:pPr>
        <w:pStyle w:val="Sinespaciado"/>
        <w:numPr>
          <w:ilvl w:val="0"/>
          <w:numId w:val="9"/>
        </w:numPr>
        <w:rPr>
          <w:rFonts w:ascii="Arial" w:hAnsi="Arial" w:cs="Arial"/>
        </w:rPr>
      </w:pPr>
      <w:r w:rsidRPr="00D31085">
        <w:rPr>
          <w:rFonts w:ascii="Arial" w:hAnsi="Arial" w:cs="Arial"/>
        </w:rPr>
        <w:t xml:space="preserve">Fuerte reducción del número de establecimientos tradicionales de alimentación. </w:t>
      </w:r>
    </w:p>
    <w:p w:rsidR="00D31085" w:rsidRPr="00D31085" w:rsidRDefault="00D31085" w:rsidP="006E643F">
      <w:pPr>
        <w:pStyle w:val="Sinespaciado"/>
        <w:numPr>
          <w:ilvl w:val="0"/>
          <w:numId w:val="9"/>
        </w:numPr>
        <w:rPr>
          <w:rFonts w:ascii="Arial" w:hAnsi="Arial" w:cs="Arial"/>
        </w:rPr>
      </w:pPr>
      <w:r w:rsidRPr="00D31085">
        <w:rPr>
          <w:rFonts w:ascii="Arial" w:hAnsi="Arial" w:cs="Arial"/>
        </w:rPr>
        <w:t>El principal inconveniente es que mayoristas, minoristas y fabricantes tienen objetivos diferentes.</w:t>
      </w:r>
    </w:p>
    <w:p w:rsidR="00D31085" w:rsidRDefault="007A4AEF" w:rsidP="00661731">
      <w:pPr>
        <w:pStyle w:val="Sinespaciado"/>
        <w:jc w:val="center"/>
        <w:rPr>
          <w:rFonts w:ascii="Arial" w:hAnsi="Arial" w:cs="Arial"/>
          <w:b/>
        </w:rPr>
      </w:pPr>
      <w:r>
        <w:rPr>
          <w:rFonts w:ascii="Arial" w:hAnsi="Arial" w:cs="Arial"/>
          <w:noProof/>
          <w:sz w:val="20"/>
          <w:szCs w:val="20"/>
          <w:lang w:val="es-CO" w:eastAsia="es-CO"/>
        </w:rPr>
        <w:drawing>
          <wp:inline distT="0" distB="0" distL="0" distR="0">
            <wp:extent cx="3698240" cy="808355"/>
            <wp:effectExtent l="19050" t="0" r="0" b="0"/>
            <wp:docPr id="52" name="il_fi" descr="http://www.marketinet.com/ebooks/manual_de_marketing/imagenes/distribucion_canal_lar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rketinet.com/ebooks/manual_de_marketing/imagenes/distribucion_canal_largo.gif"/>
                    <pic:cNvPicPr>
                      <a:picLocks noChangeAspect="1" noChangeArrowheads="1"/>
                    </pic:cNvPicPr>
                  </pic:nvPicPr>
                  <pic:blipFill>
                    <a:blip r:embed="rId9"/>
                    <a:srcRect/>
                    <a:stretch>
                      <a:fillRect/>
                    </a:stretch>
                  </pic:blipFill>
                  <pic:spPr bwMode="auto">
                    <a:xfrm>
                      <a:off x="0" y="0"/>
                      <a:ext cx="3698240" cy="808355"/>
                    </a:xfrm>
                    <a:prstGeom prst="rect">
                      <a:avLst/>
                    </a:prstGeom>
                    <a:noFill/>
                    <a:ln w="9525">
                      <a:noFill/>
                      <a:miter lim="800000"/>
                      <a:headEnd/>
                      <a:tailEnd/>
                    </a:ln>
                  </pic:spPr>
                </pic:pic>
              </a:graphicData>
            </a:graphic>
          </wp:inline>
        </w:drawing>
      </w:r>
    </w:p>
    <w:p w:rsidR="00661731" w:rsidRDefault="007A4AEF" w:rsidP="00661731">
      <w:pPr>
        <w:pStyle w:val="Sinespaciado"/>
        <w:jc w:val="center"/>
        <w:rPr>
          <w:rFonts w:ascii="Arial" w:hAnsi="Arial" w:cs="Arial"/>
          <w:b/>
        </w:rPr>
      </w:pPr>
      <w:r>
        <w:rPr>
          <w:rFonts w:ascii="Arial" w:hAnsi="Arial" w:cs="Arial"/>
          <w:noProof/>
          <w:sz w:val="20"/>
          <w:szCs w:val="20"/>
          <w:lang w:val="es-CO" w:eastAsia="es-CO"/>
        </w:rPr>
        <w:lastRenderedPageBreak/>
        <w:drawing>
          <wp:inline distT="0" distB="0" distL="0" distR="0">
            <wp:extent cx="5763895" cy="2563495"/>
            <wp:effectExtent l="19050" t="0" r="8255" b="0"/>
            <wp:docPr id="51" name="il_fi" descr="http://wowwwmarketing.files.wordpress.com/2009/01/diapositiva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owwwmarketing.files.wordpress.com/2009/01/diapositiva11.jpg"/>
                    <pic:cNvPicPr>
                      <a:picLocks noChangeAspect="1" noChangeArrowheads="1"/>
                    </pic:cNvPicPr>
                  </pic:nvPicPr>
                  <pic:blipFill>
                    <a:blip r:embed="rId10"/>
                    <a:srcRect/>
                    <a:stretch>
                      <a:fillRect/>
                    </a:stretch>
                  </pic:blipFill>
                  <pic:spPr bwMode="auto">
                    <a:xfrm>
                      <a:off x="0" y="0"/>
                      <a:ext cx="5763895" cy="2563495"/>
                    </a:xfrm>
                    <a:prstGeom prst="rect">
                      <a:avLst/>
                    </a:prstGeom>
                    <a:noFill/>
                    <a:ln w="9525">
                      <a:noFill/>
                      <a:miter lim="800000"/>
                      <a:headEnd/>
                      <a:tailEnd/>
                    </a:ln>
                  </pic:spPr>
                </pic:pic>
              </a:graphicData>
            </a:graphic>
          </wp:inline>
        </w:drawing>
      </w:r>
    </w:p>
    <w:p w:rsidR="00661731" w:rsidRDefault="00661731" w:rsidP="00661731">
      <w:pPr>
        <w:pStyle w:val="Sinespaciado"/>
        <w:jc w:val="center"/>
        <w:rPr>
          <w:rFonts w:ascii="Arial" w:hAnsi="Arial" w:cs="Arial"/>
          <w:b/>
        </w:rPr>
      </w:pPr>
    </w:p>
    <w:p w:rsidR="00661731" w:rsidRDefault="00661731" w:rsidP="00661731">
      <w:pPr>
        <w:pStyle w:val="Sinespaciado"/>
        <w:rPr>
          <w:rFonts w:ascii="Arial" w:hAnsi="Arial" w:cs="Arial"/>
          <w:b/>
        </w:rPr>
      </w:pPr>
    </w:p>
    <w:p w:rsidR="00661731" w:rsidRDefault="00661731" w:rsidP="006E643F">
      <w:pPr>
        <w:pStyle w:val="Sinespaciado"/>
        <w:numPr>
          <w:ilvl w:val="0"/>
          <w:numId w:val="3"/>
        </w:numPr>
        <w:rPr>
          <w:rFonts w:ascii="Arial" w:hAnsi="Arial" w:cs="Arial"/>
          <w:b/>
        </w:rPr>
      </w:pPr>
      <w:r>
        <w:rPr>
          <w:rFonts w:ascii="Arial" w:hAnsi="Arial" w:cs="Arial"/>
          <w:b/>
        </w:rPr>
        <w:t>ECONOMIA DE ESCALA.</w:t>
      </w:r>
    </w:p>
    <w:p w:rsidR="00661731" w:rsidRDefault="00661731" w:rsidP="00661731">
      <w:pPr>
        <w:pStyle w:val="Sinespaciado"/>
        <w:rPr>
          <w:rFonts w:ascii="Arial" w:hAnsi="Arial" w:cs="Arial"/>
          <w:b/>
        </w:rPr>
      </w:pPr>
    </w:p>
    <w:p w:rsidR="00661731" w:rsidRDefault="00661731" w:rsidP="00661731">
      <w:pPr>
        <w:pStyle w:val="Sinespaciado"/>
        <w:jc w:val="both"/>
        <w:rPr>
          <w:rFonts w:ascii="Arial" w:hAnsi="Arial" w:cs="Arial"/>
          <w:lang w:eastAsia="es-CO"/>
        </w:rPr>
      </w:pPr>
      <w:r w:rsidRPr="00661731">
        <w:rPr>
          <w:rFonts w:ascii="Arial" w:hAnsi="Arial" w:cs="Arial"/>
        </w:rPr>
        <w:t xml:space="preserve">La economía de escala se refiere al poder que tiene una empresa cuando alcanza un nivel óptimo de producción para ir produciendo más a menor coste, es decir, a medida que la producción en una empresa crece (zapatos, chicles, bastones, cajas de cerillas…) </w:t>
      </w:r>
      <w:r w:rsidRPr="00661731">
        <w:rPr>
          <w:rFonts w:ascii="Arial" w:hAnsi="Arial" w:cs="Arial"/>
          <w:lang w:eastAsia="es-CO"/>
        </w:rPr>
        <w:t xml:space="preserve">sus costes por unidad producida se reducen. Cuanto más produce, menos le cuesta producir cada unidad. </w:t>
      </w:r>
    </w:p>
    <w:p w:rsidR="00661731" w:rsidRPr="00661731" w:rsidRDefault="00661731" w:rsidP="00661731">
      <w:pPr>
        <w:pStyle w:val="Sinespaciado"/>
        <w:jc w:val="both"/>
        <w:rPr>
          <w:rFonts w:ascii="Arial" w:hAnsi="Arial" w:cs="Arial"/>
          <w:lang w:eastAsia="es-CO"/>
        </w:rPr>
      </w:pPr>
    </w:p>
    <w:p w:rsidR="00661731" w:rsidRDefault="00661731" w:rsidP="00661731">
      <w:pPr>
        <w:pStyle w:val="Sinespaciado"/>
        <w:jc w:val="both"/>
        <w:rPr>
          <w:rFonts w:ascii="Arial" w:hAnsi="Arial" w:cs="Arial"/>
          <w:lang w:eastAsia="es-CO"/>
        </w:rPr>
      </w:pPr>
      <w:r w:rsidRPr="00661731">
        <w:rPr>
          <w:rFonts w:ascii="Arial" w:hAnsi="Arial" w:cs="Arial"/>
          <w:lang w:eastAsia="es-CO"/>
        </w:rPr>
        <w:t xml:space="preserve">En otras palabras, se refiere a que si en una función de producción se aumenta la cantidad de todos los inputs utilizados en un porcentaje, el output producido puede aumentar en ese mismo porcentaje o bien aumentar en mayor o menor cantidad que el mismo porcentaje. Si aumenta en el mismo, estaríamos ante economías constantes de escala, si fuera en más, serían economías crecientes de escala, si fuera en menos, en economías decrecientes de escala. Comúnmente, cuando se dicen simplemente “economías de escala”, se refieren a la crecientes, ya que estas denotan una función bastante ventajosa desde el punto de vista económico, porque significa que la producción resulta más barata por término medio cuanto mayor es el empleo de todos los recursos. Resultaría, por ejemplo, más barato por unidad producir 400 unidades que 200, si aumentamos en la misma cantidad todos los recursos empleados para ello (y el precio de cada recurso por unidad no cambiase) </w:t>
      </w:r>
    </w:p>
    <w:p w:rsidR="00661731" w:rsidRPr="00661731" w:rsidRDefault="00661731" w:rsidP="00661731">
      <w:pPr>
        <w:pStyle w:val="Sinespaciado"/>
        <w:jc w:val="both"/>
        <w:rPr>
          <w:rFonts w:ascii="Arial" w:hAnsi="Arial" w:cs="Arial"/>
          <w:lang w:eastAsia="es-CO"/>
        </w:rPr>
      </w:pPr>
    </w:p>
    <w:p w:rsidR="006C5AB8" w:rsidRDefault="00661731" w:rsidP="00661731">
      <w:pPr>
        <w:pStyle w:val="Sinespaciado"/>
        <w:jc w:val="both"/>
        <w:rPr>
          <w:rFonts w:ascii="Arial" w:hAnsi="Arial" w:cs="Arial"/>
          <w:lang w:eastAsia="es-CO"/>
        </w:rPr>
      </w:pPr>
      <w:r w:rsidRPr="00661731">
        <w:rPr>
          <w:rFonts w:ascii="Arial" w:hAnsi="Arial" w:cs="Arial"/>
          <w:lang w:eastAsia="es-CO"/>
        </w:rPr>
        <w:t>Para analizar el fenómeno de las economías de escala se suele considerar la relación entre los aumentos de producción (output) causados por los aumentos en los factores de producción (inputs). ¿Qué ocurre cuando una empresa, por ejemplo, dobla la cantidad que utiliza de inputs (el doble de trab</w:t>
      </w:r>
      <w:r w:rsidR="006C5AB8">
        <w:rPr>
          <w:rFonts w:ascii="Arial" w:hAnsi="Arial" w:cs="Arial"/>
          <w:lang w:eastAsia="es-CO"/>
        </w:rPr>
        <w:t>ajadores, el doble de capital…)?</w:t>
      </w:r>
      <w:r w:rsidRPr="00661731">
        <w:rPr>
          <w:rFonts w:ascii="Arial" w:hAnsi="Arial" w:cs="Arial"/>
          <w:lang w:eastAsia="es-CO"/>
        </w:rPr>
        <w:t xml:space="preserve"> Si el resultado es que la producción aumenta más que el doble, entonces se dice que la empresa está caracterizada por economías crecientes de escala.</w:t>
      </w:r>
    </w:p>
    <w:p w:rsidR="006C5AB8" w:rsidRDefault="006C5AB8" w:rsidP="00661731">
      <w:pPr>
        <w:pStyle w:val="Sinespaciado"/>
        <w:jc w:val="both"/>
        <w:rPr>
          <w:rFonts w:ascii="Arial" w:hAnsi="Arial" w:cs="Arial"/>
          <w:lang w:eastAsia="es-CO"/>
        </w:rPr>
      </w:pPr>
    </w:p>
    <w:p w:rsidR="00661731" w:rsidRPr="00661731" w:rsidRDefault="00661731" w:rsidP="00661731">
      <w:pPr>
        <w:pStyle w:val="Sinespaciado"/>
        <w:jc w:val="both"/>
        <w:rPr>
          <w:rFonts w:ascii="Arial" w:hAnsi="Arial" w:cs="Arial"/>
          <w:lang w:eastAsia="es-CO"/>
        </w:rPr>
      </w:pPr>
      <w:r w:rsidRPr="00661731">
        <w:rPr>
          <w:rFonts w:ascii="Arial" w:hAnsi="Arial" w:cs="Arial"/>
          <w:lang w:eastAsia="es-CO"/>
        </w:rPr>
        <w:t xml:space="preserve"> Ésta es una situación de cierto interés en economía, puesto que implica que se puede producir con menores costes a medida que se aumenta el nivel de producción. Esto está muy estrechamente ligado a la concentración empresarial, en la medida en que en un proceso productivo afectado de economías de escala creciente, una sola empresa más grande produce con un menor coste que dos empresas más pequeñas. </w:t>
      </w:r>
    </w:p>
    <w:p w:rsidR="00661731" w:rsidRPr="00661731" w:rsidRDefault="00661731" w:rsidP="00661731">
      <w:pPr>
        <w:pStyle w:val="Sinespaciado"/>
        <w:jc w:val="both"/>
        <w:rPr>
          <w:rFonts w:ascii="Arial" w:hAnsi="Arial" w:cs="Arial"/>
          <w:b/>
          <w:sz w:val="20"/>
          <w:szCs w:val="20"/>
        </w:rPr>
      </w:pPr>
    </w:p>
    <w:p w:rsidR="00661731" w:rsidRDefault="00661731" w:rsidP="00661731">
      <w:pPr>
        <w:pStyle w:val="Sinespaciado"/>
        <w:jc w:val="both"/>
        <w:rPr>
          <w:rStyle w:val="haupttext1"/>
          <w:rFonts w:ascii="Arial" w:hAnsi="Arial" w:cs="Arial"/>
          <w:sz w:val="20"/>
          <w:szCs w:val="20"/>
        </w:rPr>
      </w:pPr>
      <w:r w:rsidRPr="00661731">
        <w:rPr>
          <w:rStyle w:val="haupttext1"/>
          <w:rFonts w:ascii="Arial" w:hAnsi="Arial" w:cs="Arial"/>
          <w:sz w:val="20"/>
          <w:szCs w:val="20"/>
        </w:rPr>
        <w:t xml:space="preserve">Las </w:t>
      </w:r>
      <w:hyperlink r:id="rId11" w:history="1">
        <w:r w:rsidRPr="00661731">
          <w:rPr>
            <w:rStyle w:val="haupttext1"/>
            <w:rFonts w:ascii="Arial" w:hAnsi="Arial" w:cs="Arial"/>
            <w:sz w:val="20"/>
            <w:szCs w:val="20"/>
          </w:rPr>
          <w:t>economía</w:t>
        </w:r>
      </w:hyperlink>
      <w:r w:rsidRPr="00661731">
        <w:rPr>
          <w:rStyle w:val="haupttext1"/>
          <w:rFonts w:ascii="Arial" w:hAnsi="Arial" w:cs="Arial"/>
          <w:sz w:val="20"/>
          <w:szCs w:val="20"/>
        </w:rPr>
        <w:t xml:space="preserve">s de </w:t>
      </w:r>
      <w:hyperlink r:id="rId12" w:history="1">
        <w:r w:rsidRPr="00661731">
          <w:rPr>
            <w:rStyle w:val="haupttext1"/>
            <w:rFonts w:ascii="Arial" w:hAnsi="Arial" w:cs="Arial"/>
            <w:sz w:val="20"/>
            <w:szCs w:val="20"/>
          </w:rPr>
          <w:t>escala</w:t>
        </w:r>
      </w:hyperlink>
      <w:r w:rsidRPr="00661731">
        <w:rPr>
          <w:rStyle w:val="haupttext1"/>
          <w:rFonts w:ascii="Arial" w:hAnsi="Arial" w:cs="Arial"/>
          <w:sz w:val="20"/>
          <w:szCs w:val="20"/>
        </w:rPr>
        <w:t xml:space="preserve"> no contradicen la </w:t>
      </w:r>
      <w:hyperlink r:id="rId13" w:history="1">
        <w:r w:rsidRPr="00661731">
          <w:rPr>
            <w:rStyle w:val="haupttext1"/>
            <w:rFonts w:ascii="Arial" w:hAnsi="Arial" w:cs="Arial"/>
            <w:sz w:val="20"/>
            <w:szCs w:val="20"/>
          </w:rPr>
          <w:t>ley de los rendimientos decrecientes</w:t>
        </w:r>
      </w:hyperlink>
      <w:r w:rsidRPr="00661731">
        <w:rPr>
          <w:rStyle w:val="haupttext1"/>
          <w:rFonts w:ascii="Arial" w:hAnsi="Arial" w:cs="Arial"/>
          <w:sz w:val="20"/>
          <w:szCs w:val="20"/>
        </w:rPr>
        <w:t xml:space="preserve">, según la cual no se puede aumentar constantemente un </w:t>
      </w:r>
      <w:hyperlink r:id="rId14" w:history="1">
        <w:r w:rsidRPr="00661731">
          <w:rPr>
            <w:rStyle w:val="haupttext1"/>
            <w:rFonts w:ascii="Arial" w:hAnsi="Arial" w:cs="Arial"/>
            <w:sz w:val="20"/>
            <w:szCs w:val="20"/>
          </w:rPr>
          <w:t>factor</w:t>
        </w:r>
      </w:hyperlink>
      <w:r w:rsidRPr="00661731">
        <w:rPr>
          <w:rStyle w:val="haupttext1"/>
          <w:rFonts w:ascii="Arial" w:hAnsi="Arial" w:cs="Arial"/>
          <w:sz w:val="20"/>
          <w:szCs w:val="20"/>
        </w:rPr>
        <w:t xml:space="preserve"> de </w:t>
      </w:r>
      <w:hyperlink r:id="rId15" w:history="1">
        <w:r w:rsidRPr="00661731">
          <w:rPr>
            <w:rStyle w:val="haupttext1"/>
            <w:rFonts w:ascii="Arial" w:hAnsi="Arial" w:cs="Arial"/>
            <w:sz w:val="20"/>
            <w:szCs w:val="20"/>
          </w:rPr>
          <w:t>producción</w:t>
        </w:r>
      </w:hyperlink>
      <w:r w:rsidRPr="00661731">
        <w:rPr>
          <w:rStyle w:val="haupttext1"/>
          <w:rFonts w:ascii="Arial" w:hAnsi="Arial" w:cs="Arial"/>
          <w:sz w:val="20"/>
          <w:szCs w:val="20"/>
        </w:rPr>
        <w:t xml:space="preserve"> (por ejemplo, el </w:t>
      </w:r>
      <w:hyperlink r:id="rId16" w:history="1">
        <w:r w:rsidRPr="00661731">
          <w:rPr>
            <w:rStyle w:val="haupttext1"/>
            <w:rFonts w:ascii="Arial" w:hAnsi="Arial" w:cs="Arial"/>
            <w:sz w:val="20"/>
            <w:szCs w:val="20"/>
          </w:rPr>
          <w:t>trabajo</w:t>
        </w:r>
      </w:hyperlink>
      <w:r w:rsidRPr="00661731">
        <w:rPr>
          <w:rStyle w:val="haupttext1"/>
          <w:rFonts w:ascii="Arial" w:hAnsi="Arial" w:cs="Arial"/>
          <w:sz w:val="20"/>
          <w:szCs w:val="20"/>
        </w:rPr>
        <w:t xml:space="preserve">) y mantener </w:t>
      </w:r>
      <w:hyperlink r:id="rId17" w:history="1">
        <w:r w:rsidRPr="00661731">
          <w:rPr>
            <w:rStyle w:val="haupttext1"/>
            <w:rFonts w:ascii="Arial" w:hAnsi="Arial" w:cs="Arial"/>
            <w:sz w:val="20"/>
            <w:szCs w:val="20"/>
          </w:rPr>
          <w:t>fijo</w:t>
        </w:r>
      </w:hyperlink>
      <w:r w:rsidRPr="00661731">
        <w:rPr>
          <w:rStyle w:val="haupttext1"/>
          <w:rFonts w:ascii="Arial" w:hAnsi="Arial" w:cs="Arial"/>
          <w:sz w:val="20"/>
          <w:szCs w:val="20"/>
        </w:rPr>
        <w:t xml:space="preserve">s los otros (por ejemplo, la </w:t>
      </w:r>
      <w:hyperlink r:id="rId18" w:history="1">
        <w:r w:rsidRPr="00661731">
          <w:rPr>
            <w:rStyle w:val="haupttext1"/>
            <w:rFonts w:ascii="Arial" w:hAnsi="Arial" w:cs="Arial"/>
            <w:sz w:val="20"/>
            <w:szCs w:val="20"/>
          </w:rPr>
          <w:t>tierra</w:t>
        </w:r>
      </w:hyperlink>
      <w:r w:rsidRPr="00661731">
        <w:rPr>
          <w:rStyle w:val="haupttext1"/>
          <w:rFonts w:ascii="Arial" w:hAnsi="Arial" w:cs="Arial"/>
          <w:sz w:val="20"/>
          <w:szCs w:val="20"/>
        </w:rPr>
        <w:t xml:space="preserve">) sin que, a partir de cierto momento, el </w:t>
      </w:r>
      <w:hyperlink r:id="rId19" w:history="1">
        <w:r w:rsidRPr="00661731">
          <w:rPr>
            <w:rStyle w:val="haupttext1"/>
            <w:rFonts w:ascii="Arial" w:hAnsi="Arial" w:cs="Arial"/>
            <w:sz w:val="20"/>
            <w:szCs w:val="20"/>
          </w:rPr>
          <w:t>volumen</w:t>
        </w:r>
      </w:hyperlink>
      <w:r w:rsidRPr="00661731">
        <w:rPr>
          <w:rStyle w:val="haupttext1"/>
          <w:rFonts w:ascii="Arial" w:hAnsi="Arial" w:cs="Arial"/>
          <w:sz w:val="20"/>
          <w:szCs w:val="20"/>
        </w:rPr>
        <w:t xml:space="preserve"> de la </w:t>
      </w:r>
      <w:hyperlink r:id="rId20" w:history="1">
        <w:r w:rsidRPr="00661731">
          <w:rPr>
            <w:rStyle w:val="haupttext1"/>
            <w:rFonts w:ascii="Arial" w:hAnsi="Arial" w:cs="Arial"/>
            <w:sz w:val="20"/>
            <w:szCs w:val="20"/>
          </w:rPr>
          <w:t>producción</w:t>
        </w:r>
      </w:hyperlink>
      <w:r w:rsidRPr="00661731">
        <w:rPr>
          <w:rStyle w:val="haupttext1"/>
          <w:rFonts w:ascii="Arial" w:hAnsi="Arial" w:cs="Arial"/>
          <w:sz w:val="20"/>
          <w:szCs w:val="20"/>
        </w:rPr>
        <w:t xml:space="preserve"> suplementaria así obtenido comience a decrecer. El </w:t>
      </w:r>
      <w:hyperlink r:id="rId21" w:history="1">
        <w:r w:rsidRPr="00661731">
          <w:rPr>
            <w:rStyle w:val="haupttext1"/>
            <w:rFonts w:ascii="Arial" w:hAnsi="Arial" w:cs="Arial"/>
            <w:sz w:val="20"/>
            <w:szCs w:val="20"/>
          </w:rPr>
          <w:t>cambio</w:t>
        </w:r>
      </w:hyperlink>
      <w:r w:rsidRPr="00661731">
        <w:rPr>
          <w:rStyle w:val="haupttext1"/>
          <w:rFonts w:ascii="Arial" w:hAnsi="Arial" w:cs="Arial"/>
          <w:sz w:val="20"/>
          <w:szCs w:val="20"/>
        </w:rPr>
        <w:t xml:space="preserve"> de </w:t>
      </w:r>
      <w:hyperlink r:id="rId22" w:history="1">
        <w:r w:rsidRPr="00661731">
          <w:rPr>
            <w:rStyle w:val="haupttext1"/>
            <w:rFonts w:ascii="Arial" w:hAnsi="Arial" w:cs="Arial"/>
            <w:sz w:val="20"/>
            <w:szCs w:val="20"/>
          </w:rPr>
          <w:t>escala</w:t>
        </w:r>
      </w:hyperlink>
      <w:r w:rsidRPr="00661731">
        <w:rPr>
          <w:rStyle w:val="haupttext1"/>
          <w:rFonts w:ascii="Arial" w:hAnsi="Arial" w:cs="Arial"/>
          <w:sz w:val="20"/>
          <w:szCs w:val="20"/>
        </w:rPr>
        <w:t xml:space="preserve"> determina un </w:t>
      </w:r>
      <w:hyperlink r:id="rId23" w:history="1">
        <w:r w:rsidRPr="00661731">
          <w:rPr>
            <w:rStyle w:val="haupttext1"/>
            <w:rFonts w:ascii="Arial" w:hAnsi="Arial" w:cs="Arial"/>
            <w:sz w:val="20"/>
            <w:szCs w:val="20"/>
          </w:rPr>
          <w:t>cambio</w:t>
        </w:r>
      </w:hyperlink>
      <w:r w:rsidRPr="00661731">
        <w:rPr>
          <w:rStyle w:val="haupttext1"/>
          <w:rFonts w:ascii="Arial" w:hAnsi="Arial" w:cs="Arial"/>
          <w:sz w:val="20"/>
          <w:szCs w:val="20"/>
        </w:rPr>
        <w:t xml:space="preserve"> de </w:t>
      </w:r>
      <w:hyperlink r:id="rId24" w:history="1">
        <w:r w:rsidRPr="00661731">
          <w:rPr>
            <w:rStyle w:val="haupttext1"/>
            <w:rFonts w:ascii="Arial" w:hAnsi="Arial" w:cs="Arial"/>
            <w:sz w:val="20"/>
            <w:szCs w:val="20"/>
          </w:rPr>
          <w:t>estructura</w:t>
        </w:r>
      </w:hyperlink>
      <w:r w:rsidRPr="00661731">
        <w:rPr>
          <w:rStyle w:val="haupttext1"/>
          <w:rFonts w:ascii="Arial" w:hAnsi="Arial" w:cs="Arial"/>
          <w:sz w:val="20"/>
          <w:szCs w:val="20"/>
        </w:rPr>
        <w:t xml:space="preserve"> al que corresponde una nueva combinación óptima de los </w:t>
      </w:r>
      <w:hyperlink r:id="rId25" w:history="1">
        <w:r w:rsidRPr="00661731">
          <w:rPr>
            <w:rStyle w:val="haupttext1"/>
            <w:rFonts w:ascii="Arial" w:hAnsi="Arial" w:cs="Arial"/>
            <w:sz w:val="20"/>
            <w:szCs w:val="20"/>
          </w:rPr>
          <w:t>factor</w:t>
        </w:r>
      </w:hyperlink>
      <w:r w:rsidRPr="00661731">
        <w:rPr>
          <w:rStyle w:val="haupttext1"/>
          <w:rFonts w:ascii="Arial" w:hAnsi="Arial" w:cs="Arial"/>
          <w:sz w:val="20"/>
          <w:szCs w:val="20"/>
        </w:rPr>
        <w:t>es.</w:t>
      </w:r>
    </w:p>
    <w:p w:rsidR="00661731" w:rsidRDefault="00661731" w:rsidP="00661731">
      <w:pPr>
        <w:pStyle w:val="Sinespaciado"/>
        <w:jc w:val="both"/>
        <w:rPr>
          <w:rStyle w:val="haupttext1"/>
          <w:rFonts w:ascii="Arial" w:hAnsi="Arial" w:cs="Arial"/>
          <w:sz w:val="20"/>
          <w:szCs w:val="20"/>
        </w:rPr>
      </w:pPr>
    </w:p>
    <w:p w:rsidR="00661731" w:rsidRDefault="007A4AEF" w:rsidP="00661731">
      <w:pPr>
        <w:pStyle w:val="Sinespaciado"/>
        <w:jc w:val="center"/>
        <w:rPr>
          <w:rFonts w:ascii="Arial" w:hAnsi="Arial" w:cs="Arial"/>
          <w:b/>
          <w:sz w:val="20"/>
          <w:szCs w:val="20"/>
        </w:rPr>
      </w:pPr>
      <w:r>
        <w:rPr>
          <w:rFonts w:ascii="Arial" w:hAnsi="Arial" w:cs="Arial"/>
          <w:noProof/>
          <w:sz w:val="20"/>
          <w:szCs w:val="20"/>
          <w:lang w:val="es-CO" w:eastAsia="es-CO"/>
        </w:rPr>
        <w:drawing>
          <wp:inline distT="0" distB="0" distL="0" distR="0">
            <wp:extent cx="3763645" cy="2383790"/>
            <wp:effectExtent l="19050" t="0" r="8255" b="0"/>
            <wp:docPr id="50" name="il_fi" descr="http://www.infomipyme.com/Docs/GT/Offline/ecommerce/images/aspec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nfomipyme.com/Docs/GT/Offline/ecommerce/images/aspectos.jpg"/>
                    <pic:cNvPicPr>
                      <a:picLocks noChangeAspect="1" noChangeArrowheads="1"/>
                    </pic:cNvPicPr>
                  </pic:nvPicPr>
                  <pic:blipFill>
                    <a:blip r:embed="rId26"/>
                    <a:srcRect/>
                    <a:stretch>
                      <a:fillRect/>
                    </a:stretch>
                  </pic:blipFill>
                  <pic:spPr bwMode="auto">
                    <a:xfrm>
                      <a:off x="0" y="0"/>
                      <a:ext cx="3763645" cy="2383790"/>
                    </a:xfrm>
                    <a:prstGeom prst="rect">
                      <a:avLst/>
                    </a:prstGeom>
                    <a:noFill/>
                    <a:ln w="9525">
                      <a:noFill/>
                      <a:miter lim="800000"/>
                      <a:headEnd/>
                      <a:tailEnd/>
                    </a:ln>
                  </pic:spPr>
                </pic:pic>
              </a:graphicData>
            </a:graphic>
          </wp:inline>
        </w:drawing>
      </w:r>
    </w:p>
    <w:p w:rsidR="006C5AB8" w:rsidRDefault="006C5AB8" w:rsidP="00661731">
      <w:pPr>
        <w:pStyle w:val="Sinespaciado"/>
        <w:jc w:val="center"/>
        <w:rPr>
          <w:rFonts w:ascii="Arial" w:hAnsi="Arial" w:cs="Arial"/>
          <w:b/>
          <w:sz w:val="20"/>
          <w:szCs w:val="20"/>
        </w:rPr>
      </w:pPr>
    </w:p>
    <w:p w:rsidR="006C5AB8" w:rsidRDefault="007A4AEF" w:rsidP="00661731">
      <w:pPr>
        <w:pStyle w:val="Sinespaciado"/>
        <w:jc w:val="center"/>
        <w:rPr>
          <w:rFonts w:ascii="Arial" w:hAnsi="Arial" w:cs="Arial"/>
          <w:b/>
          <w:sz w:val="20"/>
          <w:szCs w:val="20"/>
        </w:rPr>
      </w:pPr>
      <w:r>
        <w:rPr>
          <w:rFonts w:ascii="Arial" w:hAnsi="Arial" w:cs="Arial"/>
          <w:noProof/>
          <w:sz w:val="20"/>
          <w:szCs w:val="20"/>
          <w:lang w:val="es-CO" w:eastAsia="es-CO"/>
        </w:rPr>
        <w:drawing>
          <wp:inline distT="0" distB="0" distL="0" distR="0">
            <wp:extent cx="2751455" cy="2000250"/>
            <wp:effectExtent l="19050" t="0" r="0" b="0"/>
            <wp:docPr id="49" name="il_fi" descr="http://www.biotech.bioetica.org/image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otech.bioetica.org/images/6.gif"/>
                    <pic:cNvPicPr>
                      <a:picLocks noChangeAspect="1" noChangeArrowheads="1"/>
                    </pic:cNvPicPr>
                  </pic:nvPicPr>
                  <pic:blipFill>
                    <a:blip r:embed="rId27"/>
                    <a:srcRect/>
                    <a:stretch>
                      <a:fillRect/>
                    </a:stretch>
                  </pic:blipFill>
                  <pic:spPr bwMode="auto">
                    <a:xfrm>
                      <a:off x="0" y="0"/>
                      <a:ext cx="2751455" cy="2000250"/>
                    </a:xfrm>
                    <a:prstGeom prst="rect">
                      <a:avLst/>
                    </a:prstGeom>
                    <a:noFill/>
                    <a:ln w="9525">
                      <a:noFill/>
                      <a:miter lim="800000"/>
                      <a:headEnd/>
                      <a:tailEnd/>
                    </a:ln>
                  </pic:spPr>
                </pic:pic>
              </a:graphicData>
            </a:graphic>
          </wp:inline>
        </w:drawing>
      </w:r>
    </w:p>
    <w:p w:rsidR="006C5AB8" w:rsidRPr="006C5AB8" w:rsidRDefault="006C5AB8" w:rsidP="006E643F">
      <w:pPr>
        <w:pStyle w:val="NormalWeb"/>
        <w:numPr>
          <w:ilvl w:val="0"/>
          <w:numId w:val="3"/>
        </w:numPr>
        <w:jc w:val="both"/>
        <w:rPr>
          <w:rFonts w:ascii="Arial" w:hAnsi="Arial" w:cs="Arial"/>
          <w:color w:val="000000"/>
          <w:sz w:val="20"/>
          <w:szCs w:val="20"/>
          <w:lang w:val="es-ES"/>
        </w:rPr>
      </w:pPr>
      <w:r w:rsidRPr="006C5AB8">
        <w:rPr>
          <w:rFonts w:ascii="Arial" w:hAnsi="Arial" w:cs="Arial"/>
          <w:b/>
          <w:bCs/>
          <w:color w:val="000000"/>
          <w:sz w:val="20"/>
          <w:szCs w:val="20"/>
          <w:lang w:val="es-ES"/>
        </w:rPr>
        <w:t>LA ESPECIALIZACIÓN</w:t>
      </w:r>
    </w:p>
    <w:p w:rsidR="006C5AB8" w:rsidRPr="006C5AB8" w:rsidRDefault="006C5AB8" w:rsidP="006E643F">
      <w:pPr>
        <w:pStyle w:val="NormalWeb"/>
        <w:numPr>
          <w:ilvl w:val="0"/>
          <w:numId w:val="10"/>
        </w:numPr>
        <w:jc w:val="both"/>
        <w:rPr>
          <w:rFonts w:ascii="Arial" w:hAnsi="Arial" w:cs="Arial"/>
          <w:color w:val="000000"/>
          <w:sz w:val="20"/>
          <w:szCs w:val="20"/>
          <w:lang w:val="es-ES"/>
        </w:rPr>
      </w:pPr>
      <w:r w:rsidRPr="006C5AB8">
        <w:rPr>
          <w:rFonts w:ascii="Arial" w:hAnsi="Arial" w:cs="Arial"/>
          <w:color w:val="000000"/>
          <w:sz w:val="20"/>
          <w:szCs w:val="20"/>
          <w:lang w:val="es-ES"/>
        </w:rPr>
        <w:t>Más que una tendencia general, hay que entenderla como una estrategia común del pequeño comercio tradicional europeo para competir con las grandes superficies.</w:t>
      </w:r>
    </w:p>
    <w:p w:rsidR="006C5AB8" w:rsidRPr="006C5AB8" w:rsidRDefault="006C5AB8" w:rsidP="006E643F">
      <w:pPr>
        <w:pStyle w:val="NormalWeb"/>
        <w:numPr>
          <w:ilvl w:val="0"/>
          <w:numId w:val="11"/>
        </w:numPr>
        <w:jc w:val="both"/>
        <w:rPr>
          <w:rFonts w:ascii="Arial" w:hAnsi="Arial" w:cs="Arial"/>
          <w:color w:val="000000"/>
          <w:sz w:val="20"/>
          <w:szCs w:val="20"/>
          <w:lang w:val="es-ES"/>
        </w:rPr>
      </w:pPr>
      <w:r w:rsidRPr="006C5AB8">
        <w:rPr>
          <w:rFonts w:ascii="Arial" w:hAnsi="Arial" w:cs="Arial"/>
          <w:color w:val="000000"/>
          <w:sz w:val="20"/>
          <w:szCs w:val="20"/>
          <w:lang w:val="es-ES"/>
        </w:rPr>
        <w:t>La especialización se puede dar en varios niveles:</w:t>
      </w:r>
    </w:p>
    <w:p w:rsidR="006C5AB8" w:rsidRPr="006C5AB8" w:rsidRDefault="006C5AB8" w:rsidP="006C5AB8">
      <w:pPr>
        <w:pStyle w:val="NormalWeb"/>
        <w:jc w:val="both"/>
        <w:rPr>
          <w:rFonts w:ascii="Arial" w:hAnsi="Arial" w:cs="Arial"/>
          <w:color w:val="000000"/>
          <w:sz w:val="20"/>
          <w:szCs w:val="20"/>
          <w:lang w:val="es-ES"/>
        </w:rPr>
      </w:pPr>
      <w:r w:rsidRPr="006C5AB8">
        <w:rPr>
          <w:rFonts w:ascii="Arial" w:hAnsi="Arial" w:cs="Arial"/>
          <w:color w:val="000000"/>
          <w:sz w:val="20"/>
          <w:szCs w:val="20"/>
          <w:lang w:val="es-ES"/>
        </w:rPr>
        <w:t>* Especialización en funciones, reduciendo el conflicto entre empresas independientes.</w:t>
      </w:r>
    </w:p>
    <w:p w:rsidR="006C5AB8" w:rsidRPr="006C5AB8" w:rsidRDefault="006C5AB8" w:rsidP="006C5AB8">
      <w:pPr>
        <w:pStyle w:val="NormalWeb"/>
        <w:jc w:val="both"/>
        <w:rPr>
          <w:rFonts w:ascii="Arial" w:hAnsi="Arial" w:cs="Arial"/>
          <w:color w:val="000000"/>
          <w:sz w:val="20"/>
          <w:szCs w:val="20"/>
          <w:lang w:val="es-ES"/>
        </w:rPr>
      </w:pPr>
      <w:r w:rsidRPr="006C5AB8">
        <w:rPr>
          <w:rFonts w:ascii="Arial" w:hAnsi="Arial" w:cs="Arial"/>
          <w:color w:val="000000"/>
          <w:sz w:val="20"/>
          <w:szCs w:val="20"/>
          <w:lang w:val="es-ES"/>
        </w:rPr>
        <w:t>* Especialización en segmentos concretos de consumidores. (</w:t>
      </w:r>
      <w:proofErr w:type="gramStart"/>
      <w:r w:rsidRPr="006C5AB8">
        <w:rPr>
          <w:rFonts w:ascii="Arial" w:hAnsi="Arial" w:cs="Arial"/>
          <w:color w:val="000000"/>
          <w:sz w:val="20"/>
          <w:szCs w:val="20"/>
          <w:lang w:val="es-ES"/>
        </w:rPr>
        <w:t>tiendas</w:t>
      </w:r>
      <w:proofErr w:type="gramEnd"/>
      <w:r w:rsidRPr="006C5AB8">
        <w:rPr>
          <w:rFonts w:ascii="Arial" w:hAnsi="Arial" w:cs="Arial"/>
          <w:color w:val="000000"/>
          <w:sz w:val="20"/>
          <w:szCs w:val="20"/>
          <w:lang w:val="es-ES"/>
        </w:rPr>
        <w:t xml:space="preserve"> de artículos de caza, artículos de cuero, etc.).</w:t>
      </w:r>
    </w:p>
    <w:p w:rsidR="006C5AB8" w:rsidRPr="006C5AB8" w:rsidRDefault="006C5AB8" w:rsidP="006E643F">
      <w:pPr>
        <w:pStyle w:val="NormalWeb"/>
        <w:numPr>
          <w:ilvl w:val="0"/>
          <w:numId w:val="12"/>
        </w:numPr>
        <w:jc w:val="both"/>
        <w:rPr>
          <w:rFonts w:ascii="Arial" w:hAnsi="Arial" w:cs="Arial"/>
          <w:color w:val="000000"/>
          <w:sz w:val="20"/>
          <w:szCs w:val="20"/>
          <w:lang w:val="es-ES"/>
        </w:rPr>
      </w:pPr>
      <w:r w:rsidRPr="006C5AB8">
        <w:rPr>
          <w:rFonts w:ascii="Arial" w:hAnsi="Arial" w:cs="Arial"/>
          <w:color w:val="000000"/>
          <w:sz w:val="20"/>
          <w:szCs w:val="20"/>
          <w:lang w:val="es-ES"/>
        </w:rPr>
        <w:t>Aparición de nuevos formatos comerciales especializados de mediana y gran superficie.</w:t>
      </w:r>
    </w:p>
    <w:p w:rsidR="006C5AB8" w:rsidRPr="006C5AB8" w:rsidRDefault="006C5AB8" w:rsidP="006E643F">
      <w:pPr>
        <w:pStyle w:val="NormalWeb"/>
        <w:numPr>
          <w:ilvl w:val="0"/>
          <w:numId w:val="13"/>
        </w:numPr>
        <w:jc w:val="both"/>
        <w:rPr>
          <w:rFonts w:ascii="Arial" w:hAnsi="Arial" w:cs="Arial"/>
          <w:color w:val="000000"/>
          <w:sz w:val="20"/>
          <w:szCs w:val="20"/>
          <w:lang w:val="es-ES"/>
        </w:rPr>
      </w:pPr>
      <w:r w:rsidRPr="006C5AB8">
        <w:rPr>
          <w:rFonts w:ascii="Arial" w:hAnsi="Arial" w:cs="Arial"/>
          <w:color w:val="000000"/>
          <w:sz w:val="20"/>
          <w:szCs w:val="20"/>
          <w:lang w:val="es-ES"/>
        </w:rPr>
        <w:lastRenderedPageBreak/>
        <w:t>Progresiva disminución (relativa y absoluta) de los pequeños establecimientos independientes no especializados, tanto minoristas como mayoristas.</w:t>
      </w:r>
    </w:p>
    <w:p w:rsidR="006C5AB8" w:rsidRDefault="006C5AB8" w:rsidP="006C5AB8">
      <w:pPr>
        <w:pStyle w:val="Sinespaciado"/>
        <w:rPr>
          <w:rFonts w:ascii="Arial" w:hAnsi="Arial" w:cs="Arial"/>
          <w:b/>
          <w:sz w:val="20"/>
          <w:szCs w:val="20"/>
        </w:rPr>
      </w:pPr>
    </w:p>
    <w:p w:rsidR="006C5AB8" w:rsidRDefault="006C5AB8" w:rsidP="00661731">
      <w:pPr>
        <w:pStyle w:val="Sinespaciado"/>
        <w:jc w:val="center"/>
        <w:rPr>
          <w:rFonts w:ascii="Arial" w:hAnsi="Arial" w:cs="Arial"/>
          <w:b/>
          <w:sz w:val="20"/>
          <w:szCs w:val="20"/>
        </w:rPr>
      </w:pPr>
    </w:p>
    <w:p w:rsidR="00F25B05" w:rsidRDefault="00F25B05" w:rsidP="00F25B05">
      <w:pPr>
        <w:pStyle w:val="Sinespaciado"/>
        <w:jc w:val="center"/>
        <w:rPr>
          <w:rFonts w:ascii="Arial" w:hAnsi="Arial" w:cs="Arial"/>
          <w:noProof/>
          <w:sz w:val="20"/>
          <w:szCs w:val="20"/>
          <w:lang w:val="es-CO" w:eastAsia="es-CO"/>
        </w:rPr>
      </w:pPr>
    </w:p>
    <w:p w:rsidR="00F25B05" w:rsidRDefault="007A4AEF" w:rsidP="00F25B05">
      <w:pPr>
        <w:pStyle w:val="Sinespaciado"/>
        <w:jc w:val="center"/>
        <w:rPr>
          <w:rFonts w:ascii="Arial" w:hAnsi="Arial" w:cs="Arial"/>
          <w:b/>
          <w:bCs/>
          <w:sz w:val="20"/>
          <w:szCs w:val="20"/>
        </w:rPr>
      </w:pPr>
      <w:r>
        <w:rPr>
          <w:rFonts w:ascii="Arial" w:hAnsi="Arial" w:cs="Arial"/>
          <w:noProof/>
          <w:sz w:val="20"/>
          <w:szCs w:val="20"/>
          <w:lang w:val="es-CO" w:eastAsia="es-CO"/>
        </w:rPr>
        <w:drawing>
          <wp:inline distT="0" distB="0" distL="0" distR="0">
            <wp:extent cx="5314950" cy="3037205"/>
            <wp:effectExtent l="19050" t="0" r="0" b="0"/>
            <wp:docPr id="48" name="il_fi" descr="http://www.monografias.com/trabajos31/marketing-internacional/Image19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onografias.com/trabajos31/marketing-internacional/Image1971.gif"/>
                    <pic:cNvPicPr>
                      <a:picLocks noChangeAspect="1" noChangeArrowheads="1"/>
                    </pic:cNvPicPr>
                  </pic:nvPicPr>
                  <pic:blipFill>
                    <a:blip r:embed="rId28"/>
                    <a:srcRect/>
                    <a:stretch>
                      <a:fillRect/>
                    </a:stretch>
                  </pic:blipFill>
                  <pic:spPr bwMode="auto">
                    <a:xfrm>
                      <a:off x="0" y="0"/>
                      <a:ext cx="5314950" cy="3037205"/>
                    </a:xfrm>
                    <a:prstGeom prst="rect">
                      <a:avLst/>
                    </a:prstGeom>
                    <a:noFill/>
                    <a:ln w="9525">
                      <a:noFill/>
                      <a:miter lim="800000"/>
                      <a:headEnd/>
                      <a:tailEnd/>
                    </a:ln>
                  </pic:spPr>
                </pic:pic>
              </a:graphicData>
            </a:graphic>
          </wp:inline>
        </w:drawing>
      </w:r>
      <w:r w:rsidR="00451EC5">
        <w:rPr>
          <w:rFonts w:ascii="Arial" w:hAnsi="Arial" w:cs="Arial"/>
          <w:b/>
          <w:bCs/>
          <w:sz w:val="20"/>
          <w:szCs w:val="20"/>
        </w:rPr>
        <w:t xml:space="preserve">  </w:t>
      </w:r>
    </w:p>
    <w:p w:rsidR="00F25B05" w:rsidRDefault="00F25B05" w:rsidP="00F25B05">
      <w:pPr>
        <w:pStyle w:val="Sinespaciado"/>
        <w:jc w:val="center"/>
        <w:rPr>
          <w:rFonts w:ascii="Arial" w:hAnsi="Arial" w:cs="Arial"/>
          <w:b/>
          <w:bCs/>
          <w:sz w:val="20"/>
          <w:szCs w:val="20"/>
        </w:rPr>
      </w:pPr>
    </w:p>
    <w:p w:rsidR="00E40792" w:rsidRPr="00F25B05" w:rsidRDefault="00E40792" w:rsidP="006E643F">
      <w:pPr>
        <w:pStyle w:val="Sinespaciado"/>
        <w:numPr>
          <w:ilvl w:val="0"/>
          <w:numId w:val="3"/>
        </w:numPr>
        <w:rPr>
          <w:rFonts w:ascii="Arial" w:hAnsi="Arial" w:cs="Arial"/>
          <w:b/>
          <w:sz w:val="20"/>
          <w:szCs w:val="20"/>
        </w:rPr>
      </w:pPr>
      <w:r w:rsidRPr="00E40792">
        <w:rPr>
          <w:rFonts w:ascii="Arial" w:hAnsi="Arial" w:cs="Arial"/>
          <w:b/>
          <w:bCs/>
          <w:sz w:val="20"/>
          <w:szCs w:val="20"/>
        </w:rPr>
        <w:t>El modelo de las 5 fuerzas de Porter</w:t>
      </w:r>
    </w:p>
    <w:p w:rsidR="00E40792" w:rsidRPr="00E40792" w:rsidRDefault="00E40792" w:rsidP="00E40792">
      <w:pPr>
        <w:pStyle w:val="NormalWeb"/>
        <w:jc w:val="both"/>
        <w:rPr>
          <w:rFonts w:ascii="Arial" w:hAnsi="Arial" w:cs="Arial"/>
          <w:sz w:val="20"/>
          <w:szCs w:val="20"/>
        </w:rPr>
      </w:pPr>
      <w:r w:rsidRPr="00E40792">
        <w:rPr>
          <w:rFonts w:ascii="Arial" w:hAnsi="Arial" w:cs="Arial"/>
          <w:sz w:val="20"/>
          <w:szCs w:val="20"/>
        </w:rPr>
        <w:t xml:space="preserve">Un enfoque muy popular para la planificación de la estrategia corporativa ha sido el propuesto en 1980 por </w:t>
      </w:r>
      <w:r w:rsidRPr="00E40792">
        <w:rPr>
          <w:rFonts w:ascii="Arial" w:hAnsi="Arial" w:cs="Arial"/>
          <w:iCs/>
          <w:sz w:val="20"/>
          <w:szCs w:val="20"/>
        </w:rPr>
        <w:t>Michael E. Porter</w:t>
      </w:r>
      <w:r w:rsidRPr="00E40792">
        <w:rPr>
          <w:rFonts w:ascii="Arial" w:hAnsi="Arial" w:cs="Arial"/>
          <w:sz w:val="20"/>
          <w:szCs w:val="20"/>
        </w:rPr>
        <w:t xml:space="preserve"> en su libro </w:t>
      </w:r>
      <w:r w:rsidRPr="00E40792">
        <w:rPr>
          <w:rFonts w:ascii="Arial" w:hAnsi="Arial" w:cs="Arial"/>
          <w:b/>
          <w:bCs/>
          <w:iCs/>
          <w:sz w:val="20"/>
          <w:szCs w:val="20"/>
        </w:rPr>
        <w:t>Competitive Strategy: Techniques for Analyzing Industries and Competitors</w:t>
      </w:r>
      <w:r w:rsidRPr="00E40792">
        <w:rPr>
          <w:rFonts w:ascii="Arial" w:hAnsi="Arial" w:cs="Arial"/>
          <w:sz w:val="20"/>
          <w:szCs w:val="20"/>
        </w:rPr>
        <w:t xml:space="preserve">. </w:t>
      </w:r>
    </w:p>
    <w:p w:rsidR="00E40792" w:rsidRPr="00E40792" w:rsidRDefault="00E40792" w:rsidP="00E40792">
      <w:pPr>
        <w:pStyle w:val="NormalWeb"/>
        <w:jc w:val="both"/>
        <w:rPr>
          <w:rFonts w:ascii="Arial" w:hAnsi="Arial" w:cs="Arial"/>
          <w:sz w:val="20"/>
          <w:szCs w:val="20"/>
        </w:rPr>
      </w:pPr>
      <w:r w:rsidRPr="00E40792">
        <w:rPr>
          <w:rFonts w:ascii="Arial" w:hAnsi="Arial" w:cs="Arial"/>
          <w:sz w:val="20"/>
          <w:szCs w:val="20"/>
        </w:rPr>
        <w:t xml:space="preserve">El punto de vista de </w:t>
      </w:r>
      <w:r w:rsidRPr="00E40792">
        <w:rPr>
          <w:rFonts w:ascii="Arial" w:hAnsi="Arial" w:cs="Arial"/>
          <w:iCs/>
          <w:sz w:val="20"/>
          <w:szCs w:val="20"/>
        </w:rPr>
        <w:t>Porter</w:t>
      </w:r>
      <w:r w:rsidRPr="00E40792">
        <w:rPr>
          <w:rFonts w:ascii="Arial" w:hAnsi="Arial" w:cs="Arial"/>
          <w:sz w:val="20"/>
          <w:szCs w:val="20"/>
        </w:rPr>
        <w:t xml:space="preserve"> es que existen cinco fuerzas que determinan las consecuencias de rentabilidad a largo plazo de un mercado o de algún segmento de éste. La idea es que la corporación debe evaluar sus objetivos y recursos frente a éstas cinco fuerzas que rigen la competencia industrial: </w:t>
      </w:r>
    </w:p>
    <w:p w:rsidR="00E40792" w:rsidRPr="00E40792" w:rsidRDefault="00E40792" w:rsidP="006E643F">
      <w:pPr>
        <w:numPr>
          <w:ilvl w:val="0"/>
          <w:numId w:val="14"/>
        </w:numPr>
        <w:spacing w:before="100" w:beforeAutospacing="1" w:after="100" w:afterAutospacing="1" w:line="240" w:lineRule="auto"/>
        <w:jc w:val="both"/>
        <w:rPr>
          <w:rFonts w:ascii="Arial" w:hAnsi="Arial" w:cs="Arial"/>
          <w:sz w:val="20"/>
          <w:szCs w:val="20"/>
        </w:rPr>
      </w:pPr>
      <w:r w:rsidRPr="00E40792">
        <w:rPr>
          <w:rFonts w:ascii="Arial" w:hAnsi="Arial" w:cs="Arial"/>
          <w:b/>
          <w:bCs/>
          <w:sz w:val="20"/>
          <w:szCs w:val="20"/>
        </w:rPr>
        <w:t>Amenaza de entrada de nuevos competidores</w:t>
      </w:r>
      <w:r w:rsidRPr="00E40792">
        <w:rPr>
          <w:rFonts w:ascii="Arial" w:hAnsi="Arial" w:cs="Arial"/>
          <w:sz w:val="20"/>
          <w:szCs w:val="20"/>
        </w:rPr>
        <w:br/>
        <w:t xml:space="preserve">El mercado o el segmento no es atractivo dependiendo de si las barreras de entrada son fáciles o no de franquear por nuevos participantes que puedan llegar con nuevos recursos y capacidades para apoderarse de una porción del mercado. </w:t>
      </w:r>
      <w:r w:rsidRPr="00E40792">
        <w:rPr>
          <w:rFonts w:ascii="Arial" w:hAnsi="Arial" w:cs="Arial"/>
          <w:sz w:val="20"/>
          <w:szCs w:val="20"/>
        </w:rPr>
        <w:br/>
        <w:t xml:space="preserve">  </w:t>
      </w:r>
    </w:p>
    <w:p w:rsidR="00E40792" w:rsidRPr="00E40792" w:rsidRDefault="00E40792" w:rsidP="006E643F">
      <w:pPr>
        <w:numPr>
          <w:ilvl w:val="0"/>
          <w:numId w:val="14"/>
        </w:numPr>
        <w:spacing w:before="100" w:beforeAutospacing="1" w:after="100" w:afterAutospacing="1" w:line="240" w:lineRule="auto"/>
        <w:jc w:val="both"/>
        <w:rPr>
          <w:rFonts w:ascii="Arial" w:hAnsi="Arial" w:cs="Arial"/>
          <w:sz w:val="20"/>
          <w:szCs w:val="20"/>
        </w:rPr>
      </w:pPr>
      <w:r w:rsidRPr="00E40792">
        <w:rPr>
          <w:rFonts w:ascii="Arial" w:hAnsi="Arial" w:cs="Arial"/>
          <w:b/>
          <w:bCs/>
          <w:sz w:val="20"/>
          <w:szCs w:val="20"/>
        </w:rPr>
        <w:t>La rivalidad entre los competidores</w:t>
      </w:r>
      <w:r w:rsidRPr="00E40792">
        <w:rPr>
          <w:rFonts w:ascii="Arial" w:hAnsi="Arial" w:cs="Arial"/>
          <w:sz w:val="20"/>
          <w:szCs w:val="20"/>
        </w:rPr>
        <w:br/>
        <w:t xml:space="preserve">Para </w:t>
      </w:r>
      <w:r w:rsidR="00451EC5" w:rsidRPr="00E40792">
        <w:rPr>
          <w:rFonts w:ascii="Arial" w:hAnsi="Arial" w:cs="Arial"/>
          <w:sz w:val="20"/>
          <w:szCs w:val="20"/>
        </w:rPr>
        <w:t>una</w:t>
      </w:r>
      <w:r w:rsidRPr="00E40792">
        <w:rPr>
          <w:rFonts w:ascii="Arial" w:hAnsi="Arial" w:cs="Arial"/>
          <w:sz w:val="20"/>
          <w:szCs w:val="20"/>
        </w:rPr>
        <w:t xml:space="preserve"> corporación será más difícil competir en un mercado o en uno de sus segmentos donde los competidores estén muy bien posicionados, sean muy numerosos y los costos fijos sean altos, pues constantemente estará enfrentada a guerras de precios, campañas publicitarias agresivas, promociones y entrada de nuevos productos. </w:t>
      </w:r>
      <w:r w:rsidRPr="00E40792">
        <w:rPr>
          <w:rFonts w:ascii="Arial" w:hAnsi="Arial" w:cs="Arial"/>
          <w:sz w:val="20"/>
          <w:szCs w:val="20"/>
        </w:rPr>
        <w:br/>
        <w:t xml:space="preserve">  </w:t>
      </w:r>
    </w:p>
    <w:p w:rsidR="00E40792" w:rsidRPr="00E40792" w:rsidRDefault="00E40792" w:rsidP="006E643F">
      <w:pPr>
        <w:numPr>
          <w:ilvl w:val="0"/>
          <w:numId w:val="14"/>
        </w:numPr>
        <w:spacing w:before="100" w:beforeAutospacing="1" w:after="100" w:afterAutospacing="1" w:line="240" w:lineRule="auto"/>
        <w:jc w:val="both"/>
        <w:rPr>
          <w:rFonts w:ascii="Arial" w:hAnsi="Arial" w:cs="Arial"/>
          <w:sz w:val="20"/>
          <w:szCs w:val="20"/>
        </w:rPr>
      </w:pPr>
      <w:r w:rsidRPr="00E40792">
        <w:rPr>
          <w:rFonts w:ascii="Arial" w:hAnsi="Arial" w:cs="Arial"/>
          <w:b/>
          <w:bCs/>
          <w:sz w:val="20"/>
          <w:szCs w:val="20"/>
        </w:rPr>
        <w:t>Poder de negociación de los proveedores</w:t>
      </w:r>
      <w:r w:rsidRPr="00E40792">
        <w:rPr>
          <w:rFonts w:ascii="Arial" w:hAnsi="Arial" w:cs="Arial"/>
          <w:sz w:val="20"/>
          <w:szCs w:val="20"/>
        </w:rPr>
        <w:br/>
        <w:t xml:space="preserve">Un mercado o segmento del mercado no será atractivo cuando los proveedores estén muy bien organizados gremialmente, tengan fuertes recursos y puedan imponer sus condiciones de precio y tamaño del pedido. La situación será aún más complicada si los insumos que suministran son claves para nosotros, no tienen sustitutos o son pocos y de </w:t>
      </w:r>
      <w:r w:rsidRPr="00E40792">
        <w:rPr>
          <w:rFonts w:ascii="Arial" w:hAnsi="Arial" w:cs="Arial"/>
          <w:sz w:val="20"/>
          <w:szCs w:val="20"/>
        </w:rPr>
        <w:lastRenderedPageBreak/>
        <w:t xml:space="preserve">alto costo. La situación será aun más crítica si al proveedor le conviene estratégicamente integrarse hacia adelante. (Para una explicación del concepto de integración hacia adelante ver </w:t>
      </w:r>
      <w:hyperlink r:id="rId29" w:tgtFrame="_self" w:history="1">
        <w:r w:rsidRPr="00E40792">
          <w:rPr>
            <w:rStyle w:val="Hipervnculo"/>
            <w:rFonts w:ascii="Arial" w:hAnsi="Arial" w:cs="Arial"/>
            <w:color w:val="auto"/>
            <w:sz w:val="20"/>
            <w:szCs w:val="20"/>
            <w:u w:val="none"/>
          </w:rPr>
          <w:t>El Proceso de Evolución de la Planeación Estratégica Tradicional</w:t>
        </w:r>
      </w:hyperlink>
      <w:r w:rsidRPr="00E40792">
        <w:rPr>
          <w:rFonts w:ascii="Arial" w:hAnsi="Arial" w:cs="Arial"/>
          <w:sz w:val="20"/>
          <w:szCs w:val="20"/>
        </w:rPr>
        <w:t xml:space="preserve">). </w:t>
      </w:r>
      <w:r w:rsidRPr="00E40792">
        <w:rPr>
          <w:rFonts w:ascii="Arial" w:hAnsi="Arial" w:cs="Arial"/>
          <w:sz w:val="20"/>
          <w:szCs w:val="20"/>
        </w:rPr>
        <w:br/>
        <w:t xml:space="preserve">  </w:t>
      </w:r>
    </w:p>
    <w:p w:rsidR="00E40792" w:rsidRPr="00E40792" w:rsidRDefault="00E40792" w:rsidP="006E643F">
      <w:pPr>
        <w:numPr>
          <w:ilvl w:val="0"/>
          <w:numId w:val="14"/>
        </w:numPr>
        <w:spacing w:before="100" w:beforeAutospacing="1" w:after="100" w:afterAutospacing="1" w:line="240" w:lineRule="auto"/>
        <w:jc w:val="both"/>
        <w:rPr>
          <w:rFonts w:ascii="Arial" w:hAnsi="Arial" w:cs="Arial"/>
          <w:sz w:val="20"/>
          <w:szCs w:val="20"/>
        </w:rPr>
      </w:pPr>
      <w:r w:rsidRPr="00E40792">
        <w:rPr>
          <w:rFonts w:ascii="Arial" w:hAnsi="Arial" w:cs="Arial"/>
          <w:b/>
          <w:bCs/>
          <w:sz w:val="20"/>
          <w:szCs w:val="20"/>
        </w:rPr>
        <w:t>Poder de negociación de los compradores</w:t>
      </w:r>
      <w:r w:rsidRPr="00E40792">
        <w:rPr>
          <w:rFonts w:ascii="Arial" w:hAnsi="Arial" w:cs="Arial"/>
          <w:sz w:val="20"/>
          <w:szCs w:val="20"/>
        </w:rPr>
        <w:br/>
        <w:t xml:space="preserve">Un mercado o segmento no será atractivo cuando los clientes están muy bien organizados, el producto tiene varios o muchos sustitutos, el producto no es muy diferenciado o es de bajo costo para el cliente, lo que permite que pueda hacer sustituciones por igual o a muy bajo costo. A mayor organización de los compradores mayores serán sus exigencias en materia de reducción de precios, de mayor calidad y servicios y por consiguiente la corporación tendrá una disminución en los márgenes de utilidad. La situación se hace más crítica si a las organizaciones de compradores les conviene estratégicamente integrarse hacia atrás. (Para una explicación del concepto de integración hacia atrás ver </w:t>
      </w:r>
      <w:hyperlink r:id="rId30" w:tgtFrame="_self" w:history="1">
        <w:r w:rsidRPr="00E40792">
          <w:rPr>
            <w:rStyle w:val="Hipervnculo"/>
            <w:rFonts w:ascii="Arial" w:hAnsi="Arial" w:cs="Arial"/>
            <w:color w:val="auto"/>
            <w:sz w:val="20"/>
            <w:szCs w:val="20"/>
            <w:u w:val="none"/>
          </w:rPr>
          <w:t>El Proceso de Evolución de la Planeación Estratégica Tradicional</w:t>
        </w:r>
      </w:hyperlink>
      <w:r w:rsidRPr="00E40792">
        <w:rPr>
          <w:rFonts w:ascii="Arial" w:hAnsi="Arial" w:cs="Arial"/>
          <w:sz w:val="20"/>
          <w:szCs w:val="20"/>
        </w:rPr>
        <w:t xml:space="preserve">). </w:t>
      </w:r>
      <w:r w:rsidRPr="00E40792">
        <w:rPr>
          <w:rFonts w:ascii="Arial" w:hAnsi="Arial" w:cs="Arial"/>
          <w:sz w:val="20"/>
          <w:szCs w:val="20"/>
        </w:rPr>
        <w:br/>
        <w:t xml:space="preserve">  </w:t>
      </w:r>
    </w:p>
    <w:p w:rsidR="00E40792" w:rsidRPr="00E40792" w:rsidRDefault="00E40792" w:rsidP="006E643F">
      <w:pPr>
        <w:numPr>
          <w:ilvl w:val="0"/>
          <w:numId w:val="14"/>
        </w:numPr>
        <w:spacing w:before="100" w:beforeAutospacing="1" w:after="100" w:afterAutospacing="1" w:line="240" w:lineRule="auto"/>
        <w:jc w:val="both"/>
        <w:rPr>
          <w:rFonts w:ascii="Arial" w:hAnsi="Arial" w:cs="Arial"/>
          <w:sz w:val="20"/>
          <w:szCs w:val="20"/>
        </w:rPr>
      </w:pPr>
      <w:r w:rsidRPr="00E40792">
        <w:rPr>
          <w:rFonts w:ascii="Arial" w:hAnsi="Arial" w:cs="Arial"/>
          <w:b/>
          <w:bCs/>
          <w:sz w:val="20"/>
          <w:szCs w:val="20"/>
        </w:rPr>
        <w:t>Amenaza de ingreso de productos sustitutos</w:t>
      </w:r>
      <w:r w:rsidRPr="00E40792">
        <w:rPr>
          <w:rFonts w:ascii="Arial" w:hAnsi="Arial" w:cs="Arial"/>
          <w:sz w:val="20"/>
          <w:szCs w:val="20"/>
        </w:rPr>
        <w:br/>
        <w:t xml:space="preserve">Un mercado o segmento no es atractivo si existen productos sustitutos reales o potenciales. La situación se complica si los sustitutos están más avanzados tecnológicamente o pueden entrar a precios más bajos reduciendo los márgenes de utilidad de la corporación y de la industria. </w:t>
      </w:r>
    </w:p>
    <w:tbl>
      <w:tblPr>
        <w:tblW w:w="0" w:type="auto"/>
        <w:jc w:val="center"/>
        <w:tblCellSpacing w:w="0" w:type="dxa"/>
        <w:tblCellMar>
          <w:left w:w="0" w:type="dxa"/>
          <w:right w:w="0" w:type="dxa"/>
        </w:tblCellMar>
        <w:tblLook w:val="04A0"/>
      </w:tblPr>
      <w:tblGrid>
        <w:gridCol w:w="5910"/>
      </w:tblGrid>
      <w:tr w:rsidR="00E40792" w:rsidRPr="00E43BC7">
        <w:trPr>
          <w:tblCellSpacing w:w="0" w:type="dxa"/>
          <w:jc w:val="center"/>
        </w:trPr>
        <w:tc>
          <w:tcPr>
            <w:tcW w:w="0" w:type="auto"/>
            <w:vAlign w:val="center"/>
            <w:hideMark/>
          </w:tcPr>
          <w:p w:rsidR="00E40792" w:rsidRPr="00E43BC7" w:rsidRDefault="007A4AEF" w:rsidP="00E40792">
            <w:pPr>
              <w:jc w:val="both"/>
              <w:rPr>
                <w:rFonts w:asciiTheme="minorHAnsi" w:eastAsiaTheme="minorHAnsi" w:hAnsiTheme="minorHAnsi" w:cstheme="minorBidi"/>
                <w:sz w:val="20"/>
                <w:szCs w:val="20"/>
              </w:rPr>
            </w:pPr>
            <w:r>
              <w:rPr>
                <w:rFonts w:asciiTheme="minorHAnsi" w:eastAsiaTheme="minorHAnsi" w:hAnsiTheme="minorHAnsi" w:cstheme="minorBidi"/>
                <w:noProof/>
                <w:sz w:val="20"/>
                <w:szCs w:val="20"/>
                <w:lang w:eastAsia="es-CO"/>
              </w:rPr>
              <w:drawing>
                <wp:inline distT="0" distB="0" distL="0" distR="0">
                  <wp:extent cx="3747135" cy="2669540"/>
                  <wp:effectExtent l="0" t="0" r="5715" b="0"/>
                  <wp:docPr id="47" name="Imagen 19" descr="Las 5 fuerzas que guían la competencia indust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Las 5 fuerzas que guían la competencia industrial"/>
                          <pic:cNvPicPr>
                            <a:picLocks noChangeAspect="1" noChangeArrowheads="1"/>
                          </pic:cNvPicPr>
                        </pic:nvPicPr>
                        <pic:blipFill>
                          <a:blip r:embed="rId31"/>
                          <a:srcRect/>
                          <a:stretch>
                            <a:fillRect/>
                          </a:stretch>
                        </pic:blipFill>
                        <pic:spPr bwMode="auto">
                          <a:xfrm>
                            <a:off x="0" y="0"/>
                            <a:ext cx="3747135" cy="2669540"/>
                          </a:xfrm>
                          <a:prstGeom prst="rect">
                            <a:avLst/>
                          </a:prstGeom>
                          <a:noFill/>
                          <a:ln w="9525">
                            <a:noFill/>
                            <a:miter lim="800000"/>
                            <a:headEnd/>
                            <a:tailEnd/>
                          </a:ln>
                        </pic:spPr>
                      </pic:pic>
                    </a:graphicData>
                  </a:graphic>
                </wp:inline>
              </w:drawing>
            </w:r>
          </w:p>
        </w:tc>
      </w:tr>
    </w:tbl>
    <w:p w:rsidR="00E40792" w:rsidRPr="00E40792" w:rsidRDefault="00E40792" w:rsidP="00E40792">
      <w:pPr>
        <w:pStyle w:val="Sinespaciado"/>
        <w:jc w:val="both"/>
        <w:rPr>
          <w:rFonts w:ascii="Arial" w:hAnsi="Arial" w:cs="Arial"/>
          <w:b/>
          <w:sz w:val="20"/>
          <w:szCs w:val="20"/>
        </w:rPr>
      </w:pPr>
    </w:p>
    <w:p w:rsidR="00E40792" w:rsidRPr="00E40792" w:rsidRDefault="00E40792" w:rsidP="00E40792">
      <w:p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sz w:val="20"/>
          <w:szCs w:val="20"/>
          <w:lang w:eastAsia="es-CO"/>
        </w:rPr>
        <w:t xml:space="preserve">Para éste tipo de modelo tradicional, la defensa consistía en construir barreras de entrada alrededor de una fortaleza que tuviera la corporación y que le permitiera, mediante la protección que le daba ésta ventaja competitiva, obtener utilidades que luego podía utilizar en investigación y desarrollo, para financiar una guerra de precios o para invertir en otros negocios. </w:t>
      </w:r>
    </w:p>
    <w:p w:rsidR="00E40792" w:rsidRPr="00E40792" w:rsidRDefault="00E40792" w:rsidP="00E40792">
      <w:p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iCs/>
          <w:sz w:val="20"/>
          <w:szCs w:val="20"/>
          <w:lang w:eastAsia="es-CO"/>
        </w:rPr>
        <w:t>Porter</w:t>
      </w:r>
      <w:r w:rsidRPr="00E40792">
        <w:rPr>
          <w:rFonts w:ascii="Arial" w:eastAsia="Times New Roman" w:hAnsi="Arial" w:cs="Arial"/>
          <w:sz w:val="20"/>
          <w:szCs w:val="20"/>
          <w:lang w:eastAsia="es-CO"/>
        </w:rPr>
        <w:t xml:space="preserve"> identificó seis barreras de entrada que podían usarse para crearle a la corporación una ventaja competitiva: </w:t>
      </w:r>
    </w:p>
    <w:p w:rsidR="00E40792" w:rsidRPr="00E40792"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Economías de Escala</w:t>
      </w:r>
      <w:r w:rsidRPr="00E40792">
        <w:rPr>
          <w:rFonts w:ascii="Arial" w:eastAsia="Times New Roman" w:hAnsi="Arial" w:cs="Arial"/>
          <w:sz w:val="20"/>
          <w:szCs w:val="20"/>
          <w:lang w:eastAsia="es-CO"/>
        </w:rPr>
        <w:br/>
        <w:t xml:space="preserve">Supone al que las posea, debido a que sus altos </w:t>
      </w:r>
      <w:r w:rsidR="00451EC5" w:rsidRPr="00E40792">
        <w:rPr>
          <w:rFonts w:ascii="Arial" w:eastAsia="Times New Roman" w:hAnsi="Arial" w:cs="Arial"/>
          <w:sz w:val="20"/>
          <w:szCs w:val="20"/>
          <w:lang w:eastAsia="es-CO"/>
        </w:rPr>
        <w:t>volúmenes</w:t>
      </w:r>
      <w:r w:rsidRPr="00E40792">
        <w:rPr>
          <w:rFonts w:ascii="Arial" w:eastAsia="Times New Roman" w:hAnsi="Arial" w:cs="Arial"/>
          <w:sz w:val="20"/>
          <w:szCs w:val="20"/>
          <w:lang w:eastAsia="es-CO"/>
        </w:rPr>
        <w:t xml:space="preserve"> le permiten reducir sus costos, dificultar a un nuevo competidor entrar con precios bajos. Hoy, por ejemplo, la caída de las barreras geográficas y la reducción del ciclo de vida de los productos, nos obliga a evaluar si la búsqueda de economías de escala en mercados locales nos resta flexibilidad y nos </w:t>
      </w:r>
      <w:r w:rsidRPr="00E40792">
        <w:rPr>
          <w:rFonts w:ascii="Arial" w:eastAsia="Times New Roman" w:hAnsi="Arial" w:cs="Arial"/>
          <w:sz w:val="20"/>
          <w:szCs w:val="20"/>
          <w:lang w:eastAsia="es-CO"/>
        </w:rPr>
        <w:lastRenderedPageBreak/>
        <w:t xml:space="preserve">hace vulnerables frente a competidores más ágiles que operan globalmente. </w:t>
      </w:r>
      <w:r w:rsidRPr="00E40792">
        <w:rPr>
          <w:rFonts w:ascii="Arial" w:eastAsia="Times New Roman" w:hAnsi="Arial" w:cs="Arial"/>
          <w:sz w:val="20"/>
          <w:szCs w:val="20"/>
          <w:lang w:eastAsia="es-CO"/>
        </w:rPr>
        <w:br/>
        <w:t xml:space="preserve">  </w:t>
      </w:r>
    </w:p>
    <w:p w:rsidR="00E40792" w:rsidRPr="00E40792"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Diferenciación del Producto</w:t>
      </w:r>
      <w:r w:rsidRPr="00E40792">
        <w:rPr>
          <w:rFonts w:ascii="Arial" w:eastAsia="Times New Roman" w:hAnsi="Arial" w:cs="Arial"/>
          <w:sz w:val="20"/>
          <w:szCs w:val="20"/>
          <w:lang w:eastAsia="es-CO"/>
        </w:rPr>
        <w:br/>
        <w:t xml:space="preserve">Asume que si la corporación diferencia y posiciona fuertemente su producto, la compañía entrante debe hacer cuantiosas inversiones para </w:t>
      </w:r>
      <w:r w:rsidR="00451EC5" w:rsidRPr="00E40792">
        <w:rPr>
          <w:rFonts w:ascii="Arial" w:eastAsia="Times New Roman" w:hAnsi="Arial" w:cs="Arial"/>
          <w:sz w:val="20"/>
          <w:szCs w:val="20"/>
          <w:lang w:eastAsia="es-CO"/>
        </w:rPr>
        <w:t>re posicionar</w:t>
      </w:r>
      <w:r w:rsidRPr="00E40792">
        <w:rPr>
          <w:rFonts w:ascii="Arial" w:eastAsia="Times New Roman" w:hAnsi="Arial" w:cs="Arial"/>
          <w:sz w:val="20"/>
          <w:szCs w:val="20"/>
          <w:lang w:eastAsia="es-CO"/>
        </w:rPr>
        <w:t xml:space="preserve"> a su rival. Hoy la velocidad de copia con la que reaccionan los competidores o sus mejoras al producto existente buscando crear la percepción de una calidad más alta, erosionan ésta barrera. </w:t>
      </w:r>
      <w:r w:rsidRPr="00E40792">
        <w:rPr>
          <w:rFonts w:ascii="Arial" w:eastAsia="Times New Roman" w:hAnsi="Arial" w:cs="Arial"/>
          <w:sz w:val="20"/>
          <w:szCs w:val="20"/>
          <w:lang w:eastAsia="es-CO"/>
        </w:rPr>
        <w:br/>
        <w:t xml:space="preserve">  </w:t>
      </w:r>
    </w:p>
    <w:p w:rsidR="00E40792" w:rsidRPr="00E40792"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Inversiones de Capital</w:t>
      </w:r>
      <w:r w:rsidRPr="00E40792">
        <w:rPr>
          <w:rFonts w:ascii="Arial" w:eastAsia="Times New Roman" w:hAnsi="Arial" w:cs="Arial"/>
          <w:sz w:val="20"/>
          <w:szCs w:val="20"/>
          <w:lang w:eastAsia="es-CO"/>
        </w:rPr>
        <w:br/>
        <w:t xml:space="preserve">Considera que si la corporación tiene fuertes recursos financieros tendrá una mejor posición competitiva frente a competidores más pequeños, le permitirá sobrevivir más tiempo que éstos en una guerra de desgaste, invertir en activos que otras compañías no pueden hacer, tener un alcance global o ampliar el mercado nacional e influir sobre el poder político de los países o regiones donde operan. </w:t>
      </w:r>
    </w:p>
    <w:p w:rsidR="00E40792" w:rsidRPr="00E40792" w:rsidRDefault="00E40792" w:rsidP="00451EC5">
      <w:pPr>
        <w:spacing w:before="100" w:beforeAutospacing="1" w:after="100" w:afterAutospacing="1" w:line="240" w:lineRule="auto"/>
        <w:ind w:left="720"/>
        <w:jc w:val="both"/>
        <w:rPr>
          <w:rFonts w:ascii="Arial" w:eastAsia="Times New Roman" w:hAnsi="Arial" w:cs="Arial"/>
          <w:sz w:val="20"/>
          <w:szCs w:val="20"/>
          <w:lang w:eastAsia="es-CO"/>
        </w:rPr>
      </w:pPr>
      <w:r w:rsidRPr="00E40792">
        <w:rPr>
          <w:rFonts w:ascii="Arial" w:eastAsia="Times New Roman" w:hAnsi="Arial" w:cs="Arial"/>
          <w:sz w:val="20"/>
          <w:szCs w:val="20"/>
          <w:lang w:eastAsia="es-CO"/>
        </w:rPr>
        <w:t xml:space="preserve">Hoy en día en la mayoría de los países del mundo se han promulgado leyes </w:t>
      </w:r>
      <w:r w:rsidR="00451EC5" w:rsidRPr="00E40792">
        <w:rPr>
          <w:rFonts w:ascii="Arial" w:eastAsia="Times New Roman" w:hAnsi="Arial" w:cs="Arial"/>
          <w:sz w:val="20"/>
          <w:szCs w:val="20"/>
          <w:lang w:eastAsia="es-CO"/>
        </w:rPr>
        <w:t>anti monopólicas</w:t>
      </w:r>
      <w:r w:rsidRPr="00E40792">
        <w:rPr>
          <w:rFonts w:ascii="Arial" w:eastAsia="Times New Roman" w:hAnsi="Arial" w:cs="Arial"/>
          <w:sz w:val="20"/>
          <w:szCs w:val="20"/>
          <w:lang w:eastAsia="es-CO"/>
        </w:rPr>
        <w:t xml:space="preserve"> tratando por lo menos en teoría de evitar que las fuertes concentraciones de capital destruyan a los competidores más pequeños y más débiles. La creación de barreras competitivas mediante una fuerte concentración de recursos financieros es un arma muy poderosa si la corporación es flexible en la estrategia, ágil en sus movimientos tácticos y se ajusta a las leyes </w:t>
      </w:r>
      <w:r w:rsidR="00451EC5" w:rsidRPr="00E40792">
        <w:rPr>
          <w:rFonts w:ascii="Arial" w:eastAsia="Times New Roman" w:hAnsi="Arial" w:cs="Arial"/>
          <w:sz w:val="20"/>
          <w:szCs w:val="20"/>
          <w:lang w:eastAsia="es-CO"/>
        </w:rPr>
        <w:t>anti monopólicas</w:t>
      </w:r>
      <w:r w:rsidRPr="00E40792">
        <w:rPr>
          <w:rFonts w:ascii="Arial" w:eastAsia="Times New Roman" w:hAnsi="Arial" w:cs="Arial"/>
          <w:sz w:val="20"/>
          <w:szCs w:val="20"/>
          <w:lang w:eastAsia="es-CO"/>
        </w:rPr>
        <w:t xml:space="preserve">. </w:t>
      </w:r>
    </w:p>
    <w:p w:rsidR="00E40792" w:rsidRPr="00E40792" w:rsidRDefault="00E40792" w:rsidP="00451EC5">
      <w:pPr>
        <w:spacing w:before="100" w:beforeAutospacing="1" w:after="100" w:afterAutospacing="1" w:line="240" w:lineRule="auto"/>
        <w:ind w:left="720"/>
        <w:jc w:val="both"/>
        <w:rPr>
          <w:rFonts w:ascii="Arial" w:eastAsia="Times New Roman" w:hAnsi="Arial" w:cs="Arial"/>
          <w:sz w:val="20"/>
          <w:szCs w:val="20"/>
          <w:lang w:eastAsia="es-CO"/>
        </w:rPr>
      </w:pPr>
      <w:r w:rsidRPr="00E40792">
        <w:rPr>
          <w:rFonts w:ascii="Arial" w:eastAsia="Times New Roman" w:hAnsi="Arial" w:cs="Arial"/>
          <w:sz w:val="20"/>
          <w:szCs w:val="20"/>
          <w:lang w:eastAsia="es-CO"/>
        </w:rPr>
        <w:t xml:space="preserve">No obstante su fuerza financiera, la corporación debe tener en cuenta que los pequeños competidores pueden formar alianzas o recurrir a estrategias de nichos. Aquí </w:t>
      </w:r>
      <w:r w:rsidRPr="00E40792">
        <w:rPr>
          <w:rFonts w:ascii="Arial" w:eastAsia="Times New Roman" w:hAnsi="Arial" w:cs="Arial"/>
          <w:iCs/>
          <w:sz w:val="20"/>
          <w:szCs w:val="20"/>
          <w:lang w:eastAsia="es-CO"/>
        </w:rPr>
        <w:t>Sun Tzu</w:t>
      </w:r>
      <w:r w:rsidRPr="00E40792">
        <w:rPr>
          <w:rFonts w:ascii="Arial" w:eastAsia="Times New Roman" w:hAnsi="Arial" w:cs="Arial"/>
          <w:sz w:val="20"/>
          <w:szCs w:val="20"/>
          <w:lang w:eastAsia="es-CO"/>
        </w:rPr>
        <w:t xml:space="preserve"> nos advierte: </w:t>
      </w:r>
    </w:p>
    <w:p w:rsidR="00451EC5" w:rsidRPr="00451EC5"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Desventaja en Costos independientemente de la Escala</w:t>
      </w:r>
      <w:r w:rsidRPr="00E40792">
        <w:rPr>
          <w:rFonts w:ascii="Arial" w:eastAsia="Times New Roman" w:hAnsi="Arial" w:cs="Arial"/>
          <w:sz w:val="20"/>
          <w:szCs w:val="20"/>
          <w:lang w:eastAsia="es-CO"/>
        </w:rPr>
        <w:br/>
        <w:t xml:space="preserve">Sería el caso cuando compañías establecidas en el mercado tienen ventajas en costos que no pueden ser emuladas por competidores potenciales independientemente de cual sea su tamaño y sus economías de escala. Esas ventajas podían ser las patentes, el control sobre fuentes de materias primas, la localización geográfica, los subsidios del gobierno, su curva de experiencia. Para utilizar ésta barrera la compañía dominante utiliza su ventaja en costos para invertir en campañas promocionales, en el rediseño del producto para evitar el ingreso de sustitutos o en nueva tecnología para evitar que la competencia cree un nicho. </w:t>
      </w:r>
    </w:p>
    <w:p w:rsidR="00E40792" w:rsidRPr="00E40792"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Acceso a los Canales de Distribución</w:t>
      </w:r>
      <w:r w:rsidRPr="00E40792">
        <w:rPr>
          <w:rFonts w:ascii="Arial" w:eastAsia="Times New Roman" w:hAnsi="Arial" w:cs="Arial"/>
          <w:sz w:val="20"/>
          <w:szCs w:val="20"/>
          <w:lang w:eastAsia="es-CO"/>
        </w:rPr>
        <w:br/>
        <w:t xml:space="preserve">En la medida que los canales de distribución para un producto estén bien atendidos por las firmas establecidas, los nuevos competidores deben convencer a los distribuidores que acepten sus productos mediante reducción de precios y aumento de márgenes de utilidad para el canal, compartir costos de promoción del distribuidor, comprometerse en mayores esfuerzos promocionales en el punto de venta, </w:t>
      </w:r>
      <w:r w:rsidR="00451EC5" w:rsidRPr="00E40792">
        <w:rPr>
          <w:rFonts w:ascii="Arial" w:eastAsia="Times New Roman" w:hAnsi="Arial" w:cs="Arial"/>
          <w:sz w:val="20"/>
          <w:szCs w:val="20"/>
          <w:lang w:eastAsia="es-CO"/>
        </w:rPr>
        <w:t>etc.</w:t>
      </w:r>
      <w:r w:rsidRPr="00E40792">
        <w:rPr>
          <w:rFonts w:ascii="Arial" w:eastAsia="Times New Roman" w:hAnsi="Arial" w:cs="Arial"/>
          <w:sz w:val="20"/>
          <w:szCs w:val="20"/>
          <w:lang w:eastAsia="es-CO"/>
        </w:rPr>
        <w:t xml:space="preserve">, lo que reducirá las utilidades de la compañía entrante. Cuando no es posible penetrar los canales de distribución existentes, la compañía entrante adquiere a su costo su propia estructura de distribución y aún puede crear nuevos sistemas de distribución y apropiarse de parte del mercado. </w:t>
      </w:r>
    </w:p>
    <w:p w:rsidR="00E40792" w:rsidRPr="00E40792" w:rsidRDefault="00E40792" w:rsidP="006E643F">
      <w:pPr>
        <w:numPr>
          <w:ilvl w:val="0"/>
          <w:numId w:val="15"/>
        </w:num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bCs/>
          <w:sz w:val="20"/>
          <w:szCs w:val="20"/>
          <w:lang w:eastAsia="es-CO"/>
        </w:rPr>
        <w:t>Política Gubernamental</w:t>
      </w:r>
      <w:r w:rsidRPr="00E40792">
        <w:rPr>
          <w:rFonts w:ascii="Arial" w:eastAsia="Times New Roman" w:hAnsi="Arial" w:cs="Arial"/>
          <w:sz w:val="20"/>
          <w:szCs w:val="20"/>
          <w:lang w:eastAsia="es-CO"/>
        </w:rPr>
        <w:br/>
        <w:t xml:space="preserve">Las políticas gubernamentales pueden limitar o hasta impedir la entrada de nuevos competidores expidiendo leyes, normas y requisitos. Los gobiernos fijan, por ejemplo, normas sobre el control del medio ambiente o sobre los requisitos de calidad y seguridad de los productos que exigen grandes inversiones de capital o de sofisticación tecnológica y que además alertan a las compañías existentes sobre la llegada o las intenciones de potenciales contrincantes. Hoy la tendencia es a la desregularización, a la eliminación de subsidios y de barreras arancelarias, a concertar con los influyentes grupos de interés político y económico supranacionales y en general a navegar en un mismo océano económico donde los mercados financieros y los productos están cada vez más entrelazados. </w:t>
      </w:r>
    </w:p>
    <w:p w:rsidR="00E40792" w:rsidRPr="00E40792" w:rsidRDefault="00451EC5" w:rsidP="00E40792">
      <w:p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b/>
          <w:sz w:val="20"/>
          <w:szCs w:val="20"/>
          <w:lang w:eastAsia="es-CO"/>
        </w:rPr>
        <w:lastRenderedPageBreak/>
        <w:t>Conclusión</w:t>
      </w:r>
      <w:r w:rsidR="00E40792" w:rsidRPr="00E40792">
        <w:rPr>
          <w:rFonts w:ascii="Arial" w:eastAsia="Times New Roman" w:hAnsi="Arial" w:cs="Arial"/>
          <w:b/>
          <w:sz w:val="20"/>
          <w:szCs w:val="20"/>
          <w:lang w:eastAsia="es-CO"/>
        </w:rPr>
        <w:t>:</w:t>
      </w:r>
      <w:r w:rsidR="00E40792" w:rsidRPr="00E40792">
        <w:rPr>
          <w:rFonts w:ascii="Arial" w:eastAsia="Times New Roman" w:hAnsi="Arial" w:cs="Arial"/>
          <w:sz w:val="20"/>
          <w:szCs w:val="20"/>
          <w:lang w:eastAsia="es-CO"/>
        </w:rPr>
        <w:t xml:space="preserve"> La estrategia es incrementalmente dinámica. Las fuentes de ventajas tradicionales ya no proporcionan seguridad a largo plazo. Las barreras tradicionales de entrada al mercado están siendo abatidas por jugadores hábiles y rápidos. La fortaleza de una estrategia dada no está determinada por el movimiento inicial, sino por que tan bien nos anticipamos y enfrentamos a las maniobras y a las reacciones de los competidores y a los cambios en las demandas de los clientes a través del tiempo. </w:t>
      </w:r>
    </w:p>
    <w:p w:rsidR="00E40792" w:rsidRPr="00E40792" w:rsidRDefault="00E40792" w:rsidP="00E40792">
      <w:pPr>
        <w:spacing w:before="100" w:beforeAutospacing="1" w:after="100" w:afterAutospacing="1" w:line="240" w:lineRule="auto"/>
        <w:jc w:val="both"/>
        <w:rPr>
          <w:rFonts w:ascii="Arial" w:eastAsia="Times New Roman" w:hAnsi="Arial" w:cs="Arial"/>
          <w:sz w:val="20"/>
          <w:szCs w:val="20"/>
          <w:lang w:eastAsia="es-CO"/>
        </w:rPr>
      </w:pPr>
      <w:r w:rsidRPr="00E40792">
        <w:rPr>
          <w:rFonts w:ascii="Arial" w:eastAsia="Times New Roman" w:hAnsi="Arial" w:cs="Arial"/>
          <w:sz w:val="20"/>
          <w:szCs w:val="20"/>
          <w:lang w:eastAsia="es-CO"/>
        </w:rPr>
        <w:t xml:space="preserve">El éxito de la estrategia depende de que tan efectivamente ésta pueda manejar los cambios que se presenten en el ambiente competitivo. La globalización y el cambio tecnológico están creando nuevas formas de competencia; la desregularización está cambiando las reglas de la competencia en muchas industrias; los mercados se están volviendo más complejos e impredecibles; los flujos de información en un mundo fuertemente interconectado le </w:t>
      </w:r>
      <w:proofErr w:type="gramStart"/>
      <w:r w:rsidRPr="00E40792">
        <w:rPr>
          <w:rFonts w:ascii="Arial" w:eastAsia="Times New Roman" w:hAnsi="Arial" w:cs="Arial"/>
          <w:sz w:val="20"/>
          <w:szCs w:val="20"/>
          <w:lang w:eastAsia="es-CO"/>
        </w:rPr>
        <w:t>está</w:t>
      </w:r>
      <w:proofErr w:type="gramEnd"/>
      <w:r w:rsidRPr="00E40792">
        <w:rPr>
          <w:rFonts w:ascii="Arial" w:eastAsia="Times New Roman" w:hAnsi="Arial" w:cs="Arial"/>
          <w:sz w:val="20"/>
          <w:szCs w:val="20"/>
          <w:lang w:eastAsia="es-CO"/>
        </w:rPr>
        <w:t xml:space="preserve"> permitiendo a las empresas detectar y reaccionar frente a los competidores mucho más rápidamente. </w:t>
      </w:r>
    </w:p>
    <w:p w:rsidR="00E40792" w:rsidRPr="00E40792" w:rsidRDefault="00E40792" w:rsidP="00E40792">
      <w:pPr>
        <w:spacing w:before="100" w:beforeAutospacing="1" w:after="100" w:afterAutospacing="1" w:line="240" w:lineRule="auto"/>
        <w:jc w:val="both"/>
        <w:rPr>
          <w:rFonts w:ascii="Times New Roman" w:eastAsia="Times New Roman" w:hAnsi="Times New Roman"/>
          <w:sz w:val="20"/>
          <w:szCs w:val="20"/>
          <w:lang w:eastAsia="es-CO"/>
        </w:rPr>
      </w:pPr>
      <w:r w:rsidRPr="00E40792">
        <w:rPr>
          <w:rFonts w:ascii="Arial" w:eastAsia="Times New Roman" w:hAnsi="Arial" w:cs="Arial"/>
          <w:sz w:val="20"/>
          <w:szCs w:val="20"/>
          <w:lang w:eastAsia="es-CO"/>
        </w:rPr>
        <w:t xml:space="preserve">Esta competencia acelerada nos está diciendo que ya no es posible esperar por la acción del competidor para nosotros decidir como vamos a reaccionar. El nuevo grito de guerra es anticiparse y prepararse para enfrentar cualquier eventualidad. Cada movimiento de la competencia debe enfrentarse con una rápida contramaniobra, </w:t>
      </w:r>
      <w:r w:rsidRPr="00E40792">
        <w:rPr>
          <w:rFonts w:ascii="Arial" w:eastAsia="Times New Roman" w:hAnsi="Arial" w:cs="Arial"/>
          <w:iCs/>
          <w:sz w:val="20"/>
          <w:szCs w:val="20"/>
          <w:lang w:eastAsia="es-CO"/>
        </w:rPr>
        <w:t>puesto que cualquier ventaja es meramente temporal</w:t>
      </w:r>
      <w:r w:rsidRPr="00E40792">
        <w:rPr>
          <w:rFonts w:ascii="Arial" w:eastAsia="Times New Roman" w:hAnsi="Arial" w:cs="Arial"/>
          <w:sz w:val="20"/>
          <w:szCs w:val="20"/>
          <w:lang w:eastAsia="es-CO"/>
        </w:rPr>
        <w:t>.</w:t>
      </w:r>
    </w:p>
    <w:p w:rsidR="00E40792" w:rsidRDefault="007A4AEF" w:rsidP="006C5AB8">
      <w:pPr>
        <w:pStyle w:val="Sinespaciado"/>
        <w:jc w:val="center"/>
        <w:rPr>
          <w:rFonts w:ascii="Arial" w:hAnsi="Arial" w:cs="Arial"/>
          <w:b/>
          <w:sz w:val="20"/>
          <w:szCs w:val="20"/>
        </w:rPr>
      </w:pPr>
      <w:r>
        <w:rPr>
          <w:rFonts w:ascii="Arial" w:hAnsi="Arial" w:cs="Arial"/>
          <w:b/>
          <w:noProof/>
          <w:sz w:val="20"/>
          <w:szCs w:val="20"/>
          <w:lang w:val="es-CO" w:eastAsia="es-CO"/>
        </w:rPr>
        <w:drawing>
          <wp:inline distT="0" distB="0" distL="0" distR="0">
            <wp:extent cx="5608955" cy="3396615"/>
            <wp:effectExtent l="19050" t="0" r="0" b="0"/>
            <wp:docPr id="4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32"/>
                    <a:srcRect/>
                    <a:stretch>
                      <a:fillRect/>
                    </a:stretch>
                  </pic:blipFill>
                  <pic:spPr bwMode="auto">
                    <a:xfrm>
                      <a:off x="0" y="0"/>
                      <a:ext cx="5608955" cy="3396615"/>
                    </a:xfrm>
                    <a:prstGeom prst="rect">
                      <a:avLst/>
                    </a:prstGeom>
                    <a:noFill/>
                    <a:ln w="9525">
                      <a:noFill/>
                      <a:miter lim="800000"/>
                      <a:headEnd/>
                      <a:tailEnd/>
                    </a:ln>
                  </pic:spPr>
                </pic:pic>
              </a:graphicData>
            </a:graphic>
          </wp:inline>
        </w:drawing>
      </w:r>
    </w:p>
    <w:p w:rsidR="00451EC5" w:rsidRDefault="00451EC5" w:rsidP="006C5AB8">
      <w:pPr>
        <w:pStyle w:val="Sinespaciado"/>
        <w:jc w:val="center"/>
        <w:rPr>
          <w:rFonts w:ascii="Arial" w:hAnsi="Arial" w:cs="Arial"/>
          <w:b/>
          <w:sz w:val="20"/>
          <w:szCs w:val="20"/>
        </w:rPr>
      </w:pPr>
    </w:p>
    <w:p w:rsidR="00451EC5" w:rsidRPr="00F25B05" w:rsidRDefault="00451EC5" w:rsidP="006E643F">
      <w:pPr>
        <w:pStyle w:val="NormalWeb"/>
        <w:numPr>
          <w:ilvl w:val="0"/>
          <w:numId w:val="3"/>
        </w:numPr>
        <w:rPr>
          <w:rFonts w:ascii="Arial" w:eastAsiaTheme="minorEastAsia" w:hAnsi="Arial" w:cs="Arial"/>
          <w:b/>
          <w:sz w:val="22"/>
          <w:szCs w:val="22"/>
          <w:lang w:val="es-ES" w:eastAsia="en-US"/>
        </w:rPr>
      </w:pPr>
      <w:r w:rsidRPr="00F25B05">
        <w:rPr>
          <w:rFonts w:ascii="Arial" w:hAnsi="Arial" w:cs="Arial"/>
          <w:color w:val="000000"/>
          <w:sz w:val="22"/>
          <w:szCs w:val="22"/>
          <w:lang w:val="es-ES"/>
        </w:rPr>
        <w:t>Diversificación en la distribución (realizar más de una actividad económica).</w:t>
      </w:r>
    </w:p>
    <w:p w:rsidR="00451EC5" w:rsidRPr="00F25B05" w:rsidRDefault="00451EC5" w:rsidP="006E643F">
      <w:pPr>
        <w:pStyle w:val="NormalWeb"/>
        <w:numPr>
          <w:ilvl w:val="0"/>
          <w:numId w:val="16"/>
        </w:numPr>
        <w:rPr>
          <w:rFonts w:ascii="Arial" w:hAnsi="Arial" w:cs="Arial"/>
          <w:color w:val="000000"/>
          <w:sz w:val="22"/>
          <w:szCs w:val="22"/>
          <w:lang w:val="es-ES"/>
        </w:rPr>
      </w:pPr>
      <w:r w:rsidRPr="00F25B05">
        <w:rPr>
          <w:rFonts w:ascii="Arial" w:hAnsi="Arial" w:cs="Arial"/>
          <w:color w:val="000000"/>
          <w:sz w:val="22"/>
          <w:szCs w:val="22"/>
          <w:lang w:val="es-ES"/>
        </w:rPr>
        <w:t xml:space="preserve">Aumento de la superficie total destinada a supermercados e hipermercados. Crecen en tamaño y en número. </w:t>
      </w:r>
    </w:p>
    <w:p w:rsidR="00451EC5" w:rsidRPr="00F25B05" w:rsidRDefault="00451EC5" w:rsidP="006E643F">
      <w:pPr>
        <w:pStyle w:val="NormalWeb"/>
        <w:numPr>
          <w:ilvl w:val="0"/>
          <w:numId w:val="17"/>
        </w:numPr>
        <w:rPr>
          <w:rFonts w:ascii="Arial" w:hAnsi="Arial" w:cs="Arial"/>
          <w:color w:val="000000"/>
          <w:sz w:val="22"/>
          <w:szCs w:val="22"/>
          <w:lang w:val="es-ES"/>
        </w:rPr>
      </w:pPr>
      <w:r w:rsidRPr="00F25B05">
        <w:rPr>
          <w:rFonts w:ascii="Arial" w:hAnsi="Arial" w:cs="Arial"/>
          <w:color w:val="000000"/>
          <w:sz w:val="22"/>
          <w:szCs w:val="22"/>
          <w:lang w:val="es-ES"/>
        </w:rPr>
        <w:t xml:space="preserve">Aumento del poder de negociación de las grandes cadenas de distribución frente a los fabricantes. </w:t>
      </w:r>
    </w:p>
    <w:p w:rsidR="00451EC5" w:rsidRPr="00F25B05" w:rsidRDefault="00451EC5" w:rsidP="006E643F">
      <w:pPr>
        <w:pStyle w:val="NormalWeb"/>
        <w:numPr>
          <w:ilvl w:val="0"/>
          <w:numId w:val="18"/>
        </w:numPr>
        <w:rPr>
          <w:rFonts w:ascii="Arial" w:hAnsi="Arial" w:cs="Arial"/>
          <w:color w:val="000000"/>
          <w:sz w:val="22"/>
          <w:szCs w:val="22"/>
          <w:lang w:val="es-ES"/>
        </w:rPr>
      </w:pPr>
      <w:r w:rsidRPr="00F25B05">
        <w:rPr>
          <w:rFonts w:ascii="Arial" w:hAnsi="Arial" w:cs="Arial"/>
          <w:color w:val="000000"/>
          <w:sz w:val="22"/>
          <w:szCs w:val="22"/>
          <w:lang w:val="es-ES"/>
        </w:rPr>
        <w:t>Incremento de la oferta de servicios al consumidor</w:t>
      </w:r>
    </w:p>
    <w:p w:rsidR="00F25B05" w:rsidRPr="00F25B05" w:rsidRDefault="00451EC5" w:rsidP="006E643F">
      <w:pPr>
        <w:pStyle w:val="NormalWeb"/>
        <w:numPr>
          <w:ilvl w:val="0"/>
          <w:numId w:val="19"/>
        </w:numPr>
        <w:rPr>
          <w:rFonts w:ascii="Arial" w:hAnsi="Arial" w:cs="Arial"/>
          <w:color w:val="000000"/>
          <w:sz w:val="22"/>
          <w:szCs w:val="22"/>
          <w:lang w:val="es-ES"/>
        </w:rPr>
      </w:pPr>
      <w:r w:rsidRPr="00F25B05">
        <w:rPr>
          <w:rFonts w:ascii="Arial" w:hAnsi="Arial" w:cs="Arial"/>
          <w:color w:val="000000"/>
          <w:sz w:val="22"/>
          <w:szCs w:val="22"/>
          <w:lang w:val="es-ES"/>
        </w:rPr>
        <w:lastRenderedPageBreak/>
        <w:t>Especialización geográfica</w:t>
      </w:r>
    </w:p>
    <w:p w:rsidR="00F25B05" w:rsidRPr="00F25B05" w:rsidRDefault="00451EC5" w:rsidP="006E643F">
      <w:pPr>
        <w:pStyle w:val="NormalWeb"/>
        <w:numPr>
          <w:ilvl w:val="0"/>
          <w:numId w:val="19"/>
        </w:numPr>
        <w:rPr>
          <w:rFonts w:ascii="Arial" w:hAnsi="Arial" w:cs="Arial"/>
          <w:color w:val="000000"/>
          <w:sz w:val="22"/>
          <w:szCs w:val="22"/>
          <w:lang w:val="es-ES"/>
        </w:rPr>
      </w:pPr>
      <w:r w:rsidRPr="00F25B05">
        <w:rPr>
          <w:rFonts w:ascii="Arial" w:hAnsi="Arial" w:cs="Arial"/>
          <w:b/>
          <w:bCs/>
          <w:i/>
          <w:iCs/>
          <w:color w:val="000000"/>
          <w:sz w:val="22"/>
          <w:szCs w:val="22"/>
          <w:lang w:val="es-ES"/>
        </w:rPr>
        <w:t>MERCHANDISING</w:t>
      </w:r>
      <w:r w:rsidRPr="00F25B05">
        <w:rPr>
          <w:rFonts w:ascii="Arial" w:hAnsi="Arial" w:cs="Arial"/>
          <w:color w:val="000000"/>
          <w:sz w:val="22"/>
          <w:szCs w:val="22"/>
          <w:lang w:val="es-ES"/>
        </w:rPr>
        <w:t xml:space="preserve">: conjunto de técnicas destinadas a estimular la interacción en el punto de venta del producto y el comprador, con el objetivo de responder adecuadamente a sus necesidades y maximizar las ventas y resultados del detallista. </w:t>
      </w:r>
    </w:p>
    <w:p w:rsidR="00451EC5" w:rsidRPr="00F25B05" w:rsidRDefault="00451EC5" w:rsidP="006E643F">
      <w:pPr>
        <w:pStyle w:val="NormalWeb"/>
        <w:numPr>
          <w:ilvl w:val="0"/>
          <w:numId w:val="19"/>
        </w:numPr>
        <w:rPr>
          <w:rFonts w:ascii="Arial" w:hAnsi="Arial" w:cs="Arial"/>
          <w:color w:val="000000"/>
          <w:sz w:val="22"/>
          <w:szCs w:val="22"/>
          <w:lang w:val="es-ES"/>
        </w:rPr>
      </w:pPr>
      <w:r w:rsidRPr="00F25B05">
        <w:rPr>
          <w:rFonts w:ascii="Arial" w:hAnsi="Arial" w:cs="Arial"/>
          <w:color w:val="000000"/>
          <w:sz w:val="22"/>
          <w:szCs w:val="22"/>
          <w:lang w:val="es-ES"/>
        </w:rPr>
        <w:t>(Para que el consumidor compre mucho más de lo que pensaba comprar).</w:t>
      </w:r>
    </w:p>
    <w:p w:rsidR="00451EC5" w:rsidRDefault="007A4AEF" w:rsidP="00F25B05">
      <w:pPr>
        <w:pStyle w:val="Sinespaciado"/>
        <w:jc w:val="center"/>
        <w:rPr>
          <w:rFonts w:ascii="Arial" w:hAnsi="Arial" w:cs="Arial"/>
          <w:b/>
          <w:sz w:val="20"/>
          <w:szCs w:val="20"/>
        </w:rPr>
      </w:pPr>
      <w:r>
        <w:rPr>
          <w:rFonts w:ascii="Arial" w:hAnsi="Arial" w:cs="Arial"/>
          <w:noProof/>
          <w:sz w:val="20"/>
          <w:szCs w:val="20"/>
          <w:lang w:val="es-CO" w:eastAsia="es-CO"/>
        </w:rPr>
        <w:drawing>
          <wp:inline distT="0" distB="0" distL="0" distR="0">
            <wp:extent cx="1853565" cy="1420495"/>
            <wp:effectExtent l="19050" t="0" r="0" b="0"/>
            <wp:docPr id="45" name="il_fi" descr="http://t1.gstatic.com/images?q=tbn:cH590GBGRW8phM:http://ogerente.com.br/rede/mercado/files/2010/01/diversificar-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cH590GBGRW8phM:http://ogerente.com.br/rede/mercado/files/2010/01/diversificar-in.jpg"/>
                    <pic:cNvPicPr>
                      <a:picLocks noChangeAspect="1" noChangeArrowheads="1"/>
                    </pic:cNvPicPr>
                  </pic:nvPicPr>
                  <pic:blipFill>
                    <a:blip r:embed="rId33"/>
                    <a:srcRect/>
                    <a:stretch>
                      <a:fillRect/>
                    </a:stretch>
                  </pic:blipFill>
                  <pic:spPr bwMode="auto">
                    <a:xfrm>
                      <a:off x="0" y="0"/>
                      <a:ext cx="1853565" cy="1420495"/>
                    </a:xfrm>
                    <a:prstGeom prst="rect">
                      <a:avLst/>
                    </a:prstGeom>
                    <a:noFill/>
                    <a:ln w="9525">
                      <a:noFill/>
                      <a:miter lim="800000"/>
                      <a:headEnd/>
                      <a:tailEnd/>
                    </a:ln>
                  </pic:spPr>
                </pic:pic>
              </a:graphicData>
            </a:graphic>
          </wp:inline>
        </w:drawing>
      </w:r>
      <w:r w:rsidR="00F25B05">
        <w:rPr>
          <w:rFonts w:ascii="Arial" w:hAnsi="Arial" w:cs="Arial"/>
          <w:b/>
          <w:sz w:val="20"/>
          <w:szCs w:val="20"/>
        </w:rPr>
        <w:t xml:space="preserve">           </w:t>
      </w:r>
      <w:r>
        <w:rPr>
          <w:rFonts w:ascii="Arial" w:hAnsi="Arial" w:cs="Arial"/>
          <w:noProof/>
          <w:sz w:val="20"/>
          <w:szCs w:val="20"/>
          <w:lang w:val="es-CO" w:eastAsia="es-CO"/>
        </w:rPr>
        <w:drawing>
          <wp:inline distT="0" distB="0" distL="0" distR="0">
            <wp:extent cx="1837055" cy="1796415"/>
            <wp:effectExtent l="19050" t="0" r="0" b="0"/>
            <wp:docPr id="44" name="il_fi" descr="http://www.telemprendedores.org/wp-content/uploads/2008/11/encuestaoctubr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elemprendedores.org/wp-content/uploads/2008/11/encuestaoctubrey.gif"/>
                    <pic:cNvPicPr>
                      <a:picLocks noChangeAspect="1" noChangeArrowheads="1"/>
                    </pic:cNvPicPr>
                  </pic:nvPicPr>
                  <pic:blipFill>
                    <a:blip r:embed="rId34"/>
                    <a:srcRect/>
                    <a:stretch>
                      <a:fillRect/>
                    </a:stretch>
                  </pic:blipFill>
                  <pic:spPr bwMode="auto">
                    <a:xfrm>
                      <a:off x="0" y="0"/>
                      <a:ext cx="1837055" cy="1796415"/>
                    </a:xfrm>
                    <a:prstGeom prst="rect">
                      <a:avLst/>
                    </a:prstGeom>
                    <a:noFill/>
                    <a:ln w="9525">
                      <a:noFill/>
                      <a:miter lim="800000"/>
                      <a:headEnd/>
                      <a:tailEnd/>
                    </a:ln>
                  </pic:spPr>
                </pic:pic>
              </a:graphicData>
            </a:graphic>
          </wp:inline>
        </w:drawing>
      </w:r>
    </w:p>
    <w:p w:rsidR="00F25B05" w:rsidRDefault="00F25B05" w:rsidP="00F25B05">
      <w:pPr>
        <w:pStyle w:val="Sinespaciado"/>
        <w:jc w:val="center"/>
        <w:rPr>
          <w:rFonts w:ascii="Arial" w:hAnsi="Arial" w:cs="Arial"/>
          <w:b/>
          <w:sz w:val="20"/>
          <w:szCs w:val="20"/>
        </w:rPr>
      </w:pPr>
    </w:p>
    <w:p w:rsidR="00F25B05" w:rsidRDefault="00F25B05" w:rsidP="00F25B05">
      <w:pPr>
        <w:pStyle w:val="Sinespaciado"/>
        <w:jc w:val="center"/>
        <w:rPr>
          <w:rFonts w:ascii="Arial" w:hAnsi="Arial" w:cs="Arial"/>
          <w:b/>
          <w:sz w:val="20"/>
          <w:szCs w:val="20"/>
        </w:rPr>
      </w:pPr>
    </w:p>
    <w:p w:rsidR="00F25B05" w:rsidRPr="00F25B05" w:rsidRDefault="00F25B05" w:rsidP="006E643F">
      <w:pPr>
        <w:pStyle w:val="NormalWeb"/>
        <w:numPr>
          <w:ilvl w:val="0"/>
          <w:numId w:val="3"/>
        </w:numPr>
        <w:rPr>
          <w:rFonts w:ascii="Arial" w:hAnsi="Arial" w:cs="Arial"/>
          <w:color w:val="000000"/>
          <w:sz w:val="22"/>
          <w:szCs w:val="22"/>
          <w:lang w:val="es-ES"/>
        </w:rPr>
      </w:pPr>
      <w:r w:rsidRPr="00F25B05">
        <w:rPr>
          <w:rFonts w:ascii="Arial" w:hAnsi="Arial" w:cs="Arial"/>
          <w:b/>
          <w:bCs/>
          <w:color w:val="000000"/>
          <w:sz w:val="22"/>
          <w:szCs w:val="22"/>
          <w:lang w:val="es-ES"/>
        </w:rPr>
        <w:t>LA INTERNACIONALIZACIÓN</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t>A nivel minorista, pequeños distribuidores, internacionalización poca o muy escasa debido a que los recursos financieros no son suficientes.</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t>Concentración de los países de origen de la internacionalización (Alemania, Francia y Gran Bretaña; Holanda y Bélgica).</w:t>
      </w:r>
    </w:p>
    <w:p w:rsidR="00F25B05" w:rsidRPr="00F25B05" w:rsidRDefault="00F25B05" w:rsidP="006E643F">
      <w:pPr>
        <w:pStyle w:val="NormalWeb"/>
        <w:numPr>
          <w:ilvl w:val="0"/>
          <w:numId w:val="20"/>
        </w:numPr>
        <w:jc w:val="both"/>
        <w:rPr>
          <w:rFonts w:ascii="Arial" w:hAnsi="Arial" w:cs="Arial"/>
          <w:color w:val="000000"/>
          <w:sz w:val="22"/>
          <w:szCs w:val="22"/>
          <w:lang w:val="es-ES"/>
        </w:rPr>
      </w:pPr>
      <w:r w:rsidRPr="00F25B05">
        <w:rPr>
          <w:rFonts w:ascii="Arial" w:hAnsi="Arial" w:cs="Arial"/>
          <w:color w:val="000000"/>
          <w:sz w:val="22"/>
          <w:szCs w:val="22"/>
          <w:lang w:val="es-ES"/>
        </w:rPr>
        <w:t>Francia: Europa del Sur (Carrefour)</w:t>
      </w:r>
    </w:p>
    <w:p w:rsidR="00F25B05" w:rsidRPr="00F25B05" w:rsidRDefault="00F25B05" w:rsidP="006E643F">
      <w:pPr>
        <w:pStyle w:val="NormalWeb"/>
        <w:numPr>
          <w:ilvl w:val="0"/>
          <w:numId w:val="21"/>
        </w:numPr>
        <w:jc w:val="both"/>
        <w:rPr>
          <w:rFonts w:ascii="Arial" w:hAnsi="Arial" w:cs="Arial"/>
          <w:color w:val="000000"/>
          <w:sz w:val="22"/>
          <w:szCs w:val="22"/>
          <w:lang w:val="es-ES"/>
        </w:rPr>
      </w:pPr>
      <w:r w:rsidRPr="00F25B05">
        <w:rPr>
          <w:rFonts w:ascii="Arial" w:hAnsi="Arial" w:cs="Arial"/>
          <w:color w:val="000000"/>
          <w:sz w:val="22"/>
          <w:szCs w:val="22"/>
          <w:lang w:val="es-ES"/>
        </w:rPr>
        <w:t>Alemania: EEUU, Escandinavia y Austria, Gran Bretaña, Francia e Italia (Tengelmann, aldi, Metro), Nueva tendencia: Europa del Este.</w:t>
      </w:r>
    </w:p>
    <w:p w:rsidR="00F25B05" w:rsidRPr="00F25B05" w:rsidRDefault="00F25B05" w:rsidP="006E643F">
      <w:pPr>
        <w:pStyle w:val="NormalWeb"/>
        <w:numPr>
          <w:ilvl w:val="0"/>
          <w:numId w:val="22"/>
        </w:numPr>
        <w:jc w:val="both"/>
        <w:rPr>
          <w:rFonts w:ascii="Arial" w:hAnsi="Arial" w:cs="Arial"/>
          <w:color w:val="000000"/>
          <w:sz w:val="22"/>
          <w:szCs w:val="22"/>
          <w:lang w:val="es-ES"/>
        </w:rPr>
      </w:pPr>
      <w:r w:rsidRPr="00F25B05">
        <w:rPr>
          <w:rFonts w:ascii="Arial" w:hAnsi="Arial" w:cs="Arial"/>
          <w:color w:val="000000"/>
          <w:sz w:val="22"/>
          <w:szCs w:val="22"/>
          <w:lang w:val="es-ES"/>
        </w:rPr>
        <w:t>Gran Bretaña: Irlanda, EEUU, y España (Marks &amp; Spencer).</w:t>
      </w:r>
    </w:p>
    <w:p w:rsidR="00F25B05" w:rsidRPr="00F25B05" w:rsidRDefault="00F25B05" w:rsidP="006E643F">
      <w:pPr>
        <w:pStyle w:val="NormalWeb"/>
        <w:numPr>
          <w:ilvl w:val="0"/>
          <w:numId w:val="23"/>
        </w:numPr>
        <w:jc w:val="both"/>
        <w:rPr>
          <w:rFonts w:ascii="Arial" w:hAnsi="Arial" w:cs="Arial"/>
          <w:color w:val="000000"/>
          <w:sz w:val="22"/>
          <w:szCs w:val="22"/>
          <w:lang w:val="es-ES"/>
        </w:rPr>
      </w:pPr>
      <w:r w:rsidRPr="00F25B05">
        <w:rPr>
          <w:rFonts w:ascii="Arial" w:hAnsi="Arial" w:cs="Arial"/>
          <w:color w:val="000000"/>
          <w:sz w:val="22"/>
          <w:szCs w:val="22"/>
          <w:lang w:val="es-ES"/>
        </w:rPr>
        <w:t>Holanda: Makro: España, Grecia, Portugal, Bélgica, Alemania, Gran Bretaña, Polonia, etc.</w:t>
      </w:r>
    </w:p>
    <w:p w:rsidR="00F25B05" w:rsidRPr="00F25B05" w:rsidRDefault="00F25B05" w:rsidP="006E643F">
      <w:pPr>
        <w:pStyle w:val="NormalWeb"/>
        <w:numPr>
          <w:ilvl w:val="0"/>
          <w:numId w:val="23"/>
        </w:numPr>
        <w:rPr>
          <w:rFonts w:ascii="Arial" w:hAnsi="Arial" w:cs="Arial"/>
          <w:color w:val="000000"/>
          <w:sz w:val="22"/>
          <w:szCs w:val="22"/>
          <w:lang w:val="es-ES"/>
        </w:rPr>
      </w:pPr>
      <w:r w:rsidRPr="00F25B05">
        <w:rPr>
          <w:rFonts w:ascii="Arial" w:hAnsi="Arial" w:cs="Arial"/>
          <w:color w:val="000000"/>
          <w:sz w:val="22"/>
          <w:szCs w:val="22"/>
          <w:lang w:val="es-ES"/>
        </w:rPr>
        <w:t>Ikea: (26 países de Europa, EEUU, Hong-Kong y Arabia Saudita).</w:t>
      </w:r>
    </w:p>
    <w:p w:rsidR="00F25B05" w:rsidRPr="00F25B05" w:rsidRDefault="00F25B05" w:rsidP="00F25B05">
      <w:pPr>
        <w:pStyle w:val="NormalWeb"/>
        <w:rPr>
          <w:rFonts w:ascii="Arial" w:hAnsi="Arial" w:cs="Arial"/>
          <w:color w:val="000000"/>
          <w:sz w:val="22"/>
          <w:szCs w:val="22"/>
          <w:lang w:val="es-ES"/>
        </w:rPr>
      </w:pPr>
      <w:r w:rsidRPr="00F25B05">
        <w:rPr>
          <w:rFonts w:ascii="Arial" w:hAnsi="Arial" w:cs="Arial"/>
          <w:b/>
          <w:bCs/>
          <w:i/>
          <w:iCs/>
          <w:color w:val="000000"/>
          <w:sz w:val="22"/>
          <w:szCs w:val="22"/>
          <w:lang w:val="es-ES"/>
        </w:rPr>
        <w:t>* Las razones que llevan a los distribuidores a entrar en otros países son:</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t>1. Política de la Unión Europea, ya que no existen barreras comerciales.</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t>2. Efecto desbordamiento o saturación del mercado. Ejemplo: Carrefour tenía muchos establecimientos.</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t>3. Otros: estandarización de los productos a nivel mundial, avances en la tecnología y transporte, presiones de los accionistas.</w:t>
      </w:r>
    </w:p>
    <w:p w:rsidR="00F25B05" w:rsidRPr="00F25B05" w:rsidRDefault="00F25B05" w:rsidP="00F25B05">
      <w:pPr>
        <w:pStyle w:val="NormalWeb"/>
        <w:jc w:val="both"/>
        <w:rPr>
          <w:rFonts w:ascii="Arial" w:hAnsi="Arial" w:cs="Arial"/>
          <w:color w:val="000000"/>
          <w:sz w:val="22"/>
          <w:szCs w:val="22"/>
          <w:lang w:val="es-ES"/>
        </w:rPr>
      </w:pPr>
      <w:r w:rsidRPr="00F25B05">
        <w:rPr>
          <w:rFonts w:ascii="Arial" w:hAnsi="Arial" w:cs="Arial"/>
          <w:color w:val="000000"/>
          <w:sz w:val="22"/>
          <w:szCs w:val="22"/>
          <w:lang w:val="es-ES"/>
        </w:rPr>
        <w:lastRenderedPageBreak/>
        <w:t>4. en mercados maduros: saturación, que ha obligado a las Administraciones públicas a imponer restricciones legales y administrativas a la implantación de grandes superficies. Si se quiere seguir creciendo hay que salir a otros mercados.</w:t>
      </w:r>
    </w:p>
    <w:p w:rsidR="00F25B05" w:rsidRPr="00F25B05" w:rsidRDefault="00F25B05" w:rsidP="00F25B05">
      <w:pPr>
        <w:pStyle w:val="NormalWeb"/>
        <w:rPr>
          <w:rFonts w:ascii="Arial" w:hAnsi="Arial" w:cs="Arial"/>
          <w:color w:val="000000"/>
          <w:sz w:val="22"/>
          <w:szCs w:val="22"/>
          <w:lang w:val="es-ES"/>
        </w:rPr>
      </w:pPr>
      <w:r w:rsidRPr="00F25B05">
        <w:rPr>
          <w:rFonts w:ascii="Arial" w:hAnsi="Arial" w:cs="Arial"/>
          <w:b/>
          <w:bCs/>
          <w:i/>
          <w:iCs/>
          <w:color w:val="000000"/>
          <w:sz w:val="22"/>
          <w:szCs w:val="22"/>
          <w:lang w:val="es-ES"/>
        </w:rPr>
        <w:t>* Perspectivas de Evolución:</w:t>
      </w:r>
    </w:p>
    <w:p w:rsidR="00F25B05" w:rsidRPr="00F25B05" w:rsidRDefault="00F25B05" w:rsidP="006E643F">
      <w:pPr>
        <w:pStyle w:val="NormalWeb"/>
        <w:numPr>
          <w:ilvl w:val="0"/>
          <w:numId w:val="24"/>
        </w:numPr>
        <w:jc w:val="both"/>
        <w:rPr>
          <w:rFonts w:ascii="Arial" w:hAnsi="Arial" w:cs="Arial"/>
          <w:color w:val="000000"/>
          <w:sz w:val="22"/>
          <w:szCs w:val="22"/>
          <w:lang w:val="es-ES"/>
        </w:rPr>
      </w:pPr>
      <w:r w:rsidRPr="00F25B05">
        <w:rPr>
          <w:rFonts w:ascii="Arial" w:hAnsi="Arial" w:cs="Arial"/>
          <w:color w:val="000000"/>
          <w:sz w:val="22"/>
          <w:szCs w:val="22"/>
          <w:lang w:val="es-ES"/>
        </w:rPr>
        <w:t>Continuará el efecto desbordamiento: continuará la expansión de las grandes empresas europeas de distribución en los países del sur de la Unión Europea.</w:t>
      </w:r>
    </w:p>
    <w:p w:rsidR="00F25B05" w:rsidRPr="00F25B05" w:rsidRDefault="00F25B05" w:rsidP="006E643F">
      <w:pPr>
        <w:pStyle w:val="NormalWeb"/>
        <w:numPr>
          <w:ilvl w:val="0"/>
          <w:numId w:val="25"/>
        </w:numPr>
        <w:jc w:val="both"/>
        <w:rPr>
          <w:rFonts w:ascii="Arial" w:hAnsi="Arial" w:cs="Arial"/>
          <w:color w:val="000000"/>
          <w:sz w:val="22"/>
          <w:szCs w:val="22"/>
          <w:lang w:val="es-ES"/>
        </w:rPr>
      </w:pPr>
      <w:r w:rsidRPr="00F25B05">
        <w:rPr>
          <w:rFonts w:ascii="Arial" w:hAnsi="Arial" w:cs="Arial"/>
          <w:color w:val="000000"/>
          <w:sz w:val="22"/>
          <w:szCs w:val="22"/>
          <w:lang w:val="es-ES"/>
        </w:rPr>
        <w:t>Mayor importancia de los países de Europa del Este: países bastantes menos desarrollados que los del resto de Europa. Con la caída del muro de Berlín hay un nuevo mercado por descubrir.</w:t>
      </w:r>
    </w:p>
    <w:p w:rsidR="00F25B05" w:rsidRDefault="007A4AEF" w:rsidP="00F25B05">
      <w:pPr>
        <w:pStyle w:val="Sinespaciado"/>
        <w:rPr>
          <w:rFonts w:ascii="Arial" w:hAnsi="Arial" w:cs="Arial"/>
          <w:b/>
          <w:sz w:val="20"/>
          <w:szCs w:val="20"/>
        </w:rPr>
      </w:pPr>
      <w:r>
        <w:rPr>
          <w:rFonts w:ascii="Arial" w:hAnsi="Arial" w:cs="Arial"/>
          <w:noProof/>
          <w:sz w:val="20"/>
          <w:szCs w:val="20"/>
          <w:lang w:val="es-CO" w:eastAsia="es-CO"/>
        </w:rPr>
        <w:drawing>
          <wp:inline distT="0" distB="0" distL="0" distR="0">
            <wp:extent cx="2188210" cy="1902460"/>
            <wp:effectExtent l="19050" t="0" r="2540" b="0"/>
            <wp:docPr id="43" name="il_fi" descr="http://www.icex.es/FicherosEstaticos/icexv3/munequi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cex.es/FicherosEstaticos/icexv3/munequitos.jpg"/>
                    <pic:cNvPicPr>
                      <a:picLocks noChangeAspect="1" noChangeArrowheads="1"/>
                    </pic:cNvPicPr>
                  </pic:nvPicPr>
                  <pic:blipFill>
                    <a:blip r:embed="rId35"/>
                    <a:srcRect/>
                    <a:stretch>
                      <a:fillRect/>
                    </a:stretch>
                  </pic:blipFill>
                  <pic:spPr bwMode="auto">
                    <a:xfrm>
                      <a:off x="0" y="0"/>
                      <a:ext cx="2188210" cy="1902460"/>
                    </a:xfrm>
                    <a:prstGeom prst="rect">
                      <a:avLst/>
                    </a:prstGeom>
                    <a:noFill/>
                    <a:ln w="9525">
                      <a:noFill/>
                      <a:miter lim="800000"/>
                      <a:headEnd/>
                      <a:tailEnd/>
                    </a:ln>
                  </pic:spPr>
                </pic:pic>
              </a:graphicData>
            </a:graphic>
          </wp:inline>
        </w:drawing>
      </w:r>
      <w:r w:rsidR="00F25B05">
        <w:rPr>
          <w:rFonts w:ascii="Arial" w:hAnsi="Arial" w:cs="Arial"/>
          <w:b/>
          <w:sz w:val="20"/>
          <w:szCs w:val="20"/>
        </w:rPr>
        <w:t xml:space="preserve">                      </w:t>
      </w:r>
      <w:r>
        <w:rPr>
          <w:rFonts w:ascii="Arial" w:hAnsi="Arial" w:cs="Arial"/>
          <w:noProof/>
          <w:sz w:val="20"/>
          <w:szCs w:val="20"/>
          <w:lang w:val="es-CO" w:eastAsia="es-CO"/>
        </w:rPr>
        <w:drawing>
          <wp:inline distT="0" distB="0" distL="0" distR="0">
            <wp:extent cx="2204085" cy="2155190"/>
            <wp:effectExtent l="19050" t="0" r="5715" b="0"/>
            <wp:docPr id="42" name="il_fi" descr="http://www.entecapitalista.com/wp-content/uploads/2009/11/internacionalizacion-8c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ntecapitalista.com/wp-content/uploads/2009/11/internacionalizacion-8c253.jpg"/>
                    <pic:cNvPicPr>
                      <a:picLocks noChangeAspect="1" noChangeArrowheads="1"/>
                    </pic:cNvPicPr>
                  </pic:nvPicPr>
                  <pic:blipFill>
                    <a:blip r:embed="rId36"/>
                    <a:srcRect/>
                    <a:stretch>
                      <a:fillRect/>
                    </a:stretch>
                  </pic:blipFill>
                  <pic:spPr bwMode="auto">
                    <a:xfrm>
                      <a:off x="0" y="0"/>
                      <a:ext cx="2204085" cy="2155190"/>
                    </a:xfrm>
                    <a:prstGeom prst="rect">
                      <a:avLst/>
                    </a:prstGeom>
                    <a:noFill/>
                    <a:ln w="9525">
                      <a:noFill/>
                      <a:miter lim="800000"/>
                      <a:headEnd/>
                      <a:tailEnd/>
                    </a:ln>
                  </pic:spPr>
                </pic:pic>
              </a:graphicData>
            </a:graphic>
          </wp:inline>
        </w:drawing>
      </w:r>
    </w:p>
    <w:p w:rsidR="00F25B05" w:rsidRDefault="00F25B05" w:rsidP="00F25B05">
      <w:pPr>
        <w:pStyle w:val="Sinespaciado"/>
        <w:rPr>
          <w:rFonts w:ascii="Arial" w:hAnsi="Arial" w:cs="Arial"/>
          <w:b/>
          <w:sz w:val="20"/>
          <w:szCs w:val="20"/>
        </w:rPr>
      </w:pPr>
    </w:p>
    <w:p w:rsidR="00E43BC7" w:rsidRDefault="00E43BC7" w:rsidP="00E43BC7">
      <w:pPr>
        <w:rPr>
          <w:rFonts w:ascii="Arial" w:hAnsi="Arial" w:cs="Arial"/>
        </w:rPr>
      </w:pPr>
      <w:r>
        <w:rPr>
          <w:rFonts w:ascii="Arial" w:hAnsi="Arial" w:cs="Arial"/>
        </w:rPr>
        <w:t xml:space="preserve"> </w:t>
      </w:r>
    </w:p>
    <w:p w:rsidR="00F25B05" w:rsidRDefault="00E43BC7" w:rsidP="006E643F">
      <w:pPr>
        <w:pStyle w:val="Prrafodelista"/>
        <w:numPr>
          <w:ilvl w:val="0"/>
          <w:numId w:val="3"/>
        </w:numPr>
        <w:jc w:val="both"/>
        <w:rPr>
          <w:rFonts w:ascii="Arial" w:hAnsi="Arial" w:cs="Arial"/>
        </w:rPr>
      </w:pPr>
      <w:r w:rsidRPr="00E43BC7">
        <w:rPr>
          <w:rFonts w:ascii="Arial" w:hAnsi="Arial" w:cs="Arial"/>
        </w:rPr>
        <w:t xml:space="preserve">Las decisiones sobre distribución deben ser tomadas con base en los objetivos y estrategias de mercadotecnia general de la empresa. La mayoría de estas decisiones las toman los productores de artículos, quienes se guían por tres criterios gerenciales: </w:t>
      </w:r>
      <w:r w:rsidRPr="00E43BC7">
        <w:rPr>
          <w:rFonts w:ascii="Arial" w:hAnsi="Arial" w:cs="Arial"/>
        </w:rPr>
        <w:br/>
      </w:r>
      <w:r w:rsidRPr="00E43BC7">
        <w:rPr>
          <w:rFonts w:ascii="Arial" w:hAnsi="Arial" w:cs="Arial"/>
        </w:rPr>
        <w:br/>
      </w:r>
      <w:r w:rsidRPr="00E43BC7">
        <w:rPr>
          <w:rFonts w:ascii="Arial" w:hAnsi="Arial" w:cs="Arial"/>
          <w:b/>
        </w:rPr>
        <w:t>La cobertura del mercado.</w:t>
      </w:r>
      <w:r w:rsidRPr="00E43BC7">
        <w:rPr>
          <w:rFonts w:ascii="Arial" w:hAnsi="Arial" w:cs="Arial"/>
        </w:rPr>
        <w:t xml:space="preserve"> En la selección del canal es importante considerar el tamaño y el valor del mercado potencial que se desea abastecer. Como ya se menciono los intermediarios reducen la cantidad de transacciones que se necesita hacer para entrar en contacto con un mercado de determinado tamaño, pero es necesario tomar en cuenta las consecuencias de este hecho; por ejemplo, si un productor puede hacer cuatro contactos directos con los consumidores finales, pero hace contacto con cuatro minoristas quienes a sus ves lo hace con consumidores finales él numero total de contactos en el mercado habrá aumentado a dieciséis,, cual indica como se han incrementado la cobertura del mercado con el uso de intermediarios. </w:t>
      </w:r>
      <w:r w:rsidRPr="00E43BC7">
        <w:rPr>
          <w:rFonts w:ascii="Arial" w:hAnsi="Arial" w:cs="Arial"/>
        </w:rPr>
        <w:br/>
      </w:r>
      <w:r w:rsidRPr="00E43BC7">
        <w:rPr>
          <w:rFonts w:ascii="Arial" w:hAnsi="Arial" w:cs="Arial"/>
        </w:rPr>
        <w:br/>
      </w:r>
      <w:r w:rsidRPr="00E43BC7">
        <w:rPr>
          <w:rFonts w:ascii="Arial" w:hAnsi="Arial" w:cs="Arial"/>
          <w:b/>
        </w:rPr>
        <w:t>Control.</w:t>
      </w:r>
      <w:r w:rsidRPr="00E43BC7">
        <w:rPr>
          <w:rFonts w:ascii="Arial" w:hAnsi="Arial" w:cs="Arial"/>
        </w:rPr>
        <w:t xml:space="preserve"> Se utiliza para seleccionar el canal de distribución adecuado, es decir, es el control del producto. Cuando el producto sale de las manos del productor, se pierde el control debido a que pasa a ser propiedad del comprador y este puede </w:t>
      </w:r>
      <w:r w:rsidRPr="00E43BC7">
        <w:rPr>
          <w:rFonts w:ascii="Arial" w:hAnsi="Arial" w:cs="Arial"/>
        </w:rPr>
        <w:lastRenderedPageBreak/>
        <w:t xml:space="preserve">hacer lo que quiere con el producto. Ello implica que se pueda dejar el producto en un almacén o que se presente en forma diferente en sus anaqueles. Por consiguiente es más conveniente usar un canal corto de distribución ya que proporciona un mayor control. </w:t>
      </w:r>
      <w:r w:rsidRPr="00E43BC7">
        <w:rPr>
          <w:rFonts w:ascii="Arial" w:hAnsi="Arial" w:cs="Arial"/>
        </w:rPr>
        <w:br/>
      </w:r>
      <w:r w:rsidRPr="00E43BC7">
        <w:rPr>
          <w:rFonts w:ascii="Arial" w:hAnsi="Arial" w:cs="Arial"/>
        </w:rPr>
        <w:br/>
      </w:r>
      <w:r w:rsidRPr="00E43BC7">
        <w:rPr>
          <w:rFonts w:ascii="Arial" w:hAnsi="Arial" w:cs="Arial"/>
          <w:b/>
        </w:rPr>
        <w:t>Costos.</w:t>
      </w:r>
      <w:r w:rsidRPr="00E43BC7">
        <w:rPr>
          <w:rFonts w:ascii="Arial" w:hAnsi="Arial" w:cs="Arial"/>
        </w:rPr>
        <w:t xml:space="preserve"> La mayoría de los consumidores piensa. Que cuando más corto sea al canal, menor será el costo de distribución y, por lo tanto menor el precio que se deban pagar. Sin embargo, ha quedado demostrado que los intermediarios son especialistas y que realizan esta función de un modo más eficaz de lo que haría un productor; por tanto, los costos de distribución son generalmente más bajos cuando se utilizan intermediarios en el canal de distribución. </w:t>
      </w:r>
      <w:r w:rsidRPr="00E43BC7">
        <w:rPr>
          <w:rFonts w:ascii="Arial" w:hAnsi="Arial" w:cs="Arial"/>
        </w:rPr>
        <w:br/>
      </w:r>
      <w:r w:rsidRPr="00E43BC7">
        <w:rPr>
          <w:rFonts w:ascii="Arial" w:hAnsi="Arial" w:cs="Arial"/>
        </w:rPr>
        <w:br/>
        <w:t xml:space="preserve">De lo anterior se puede deducir que el utilizar un canal de distribución mas corto da un resultado generalmente, una cobertura de mercado muy limitada, un control de los productos mas alto y unos costos mas elevados; por el contrario, un canal más largo da por resultado una cobertura más amplia, un menor control del producto y costos bajos. </w:t>
      </w:r>
      <w:r w:rsidRPr="00E43BC7">
        <w:rPr>
          <w:rFonts w:ascii="Arial" w:hAnsi="Arial" w:cs="Arial"/>
        </w:rPr>
        <w:br/>
      </w:r>
      <w:r w:rsidRPr="00E43BC7">
        <w:rPr>
          <w:rFonts w:ascii="Arial" w:hAnsi="Arial" w:cs="Arial"/>
        </w:rPr>
        <w:br/>
        <w:t>Cuanto más económico parece un canal de distribución, menos posibilidades tiene de conflictos y rigidez. Al hacer la valoración de las alternativas se tiene que empezar por considerar sus consecuencias en las ventas, en los costos y en las utilidades. Las dos alternativas conocidas de canales de distribución son: la fuerza vendedora de la empresa y la agencia de ventas del productor. Como se sabe el mejor sistema es el que produce la mejor relación entre las ventas y los costos. Se empieza el análisis con un cálculo de las ventas que se realizan en cada sistema, ya que algunos costos dependen del nivel de las mismas.</w:t>
      </w:r>
    </w:p>
    <w:p w:rsidR="00E43BC7" w:rsidRDefault="00E43BC7" w:rsidP="00E43BC7">
      <w:pPr>
        <w:pStyle w:val="Prrafodelista"/>
        <w:jc w:val="both"/>
        <w:rPr>
          <w:rFonts w:ascii="Arial" w:hAnsi="Arial" w:cs="Arial"/>
        </w:rPr>
      </w:pPr>
    </w:p>
    <w:p w:rsidR="00E43BC7" w:rsidRDefault="007A4AEF" w:rsidP="00E43BC7">
      <w:pPr>
        <w:pStyle w:val="Prrafodelista"/>
        <w:jc w:val="center"/>
        <w:rPr>
          <w:rFonts w:ascii="Arial" w:hAnsi="Arial" w:cs="Arial"/>
        </w:rPr>
      </w:pPr>
      <w:r>
        <w:rPr>
          <w:rFonts w:ascii="Arial" w:hAnsi="Arial" w:cs="Arial"/>
          <w:noProof/>
          <w:sz w:val="20"/>
          <w:szCs w:val="20"/>
          <w:lang w:eastAsia="es-CO"/>
        </w:rPr>
        <w:drawing>
          <wp:inline distT="0" distB="0" distL="0" distR="0">
            <wp:extent cx="2857500" cy="3045460"/>
            <wp:effectExtent l="19050" t="0" r="0" b="0"/>
            <wp:docPr id="41" name="il_fi" descr="http://4.bp.blogspot.com/_GuqbtlCU5ko/S9El095ZCII/AAAAAAAAAEE/nDh975OXfBQ/s320/canales_de_distribuc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_GuqbtlCU5ko/S9El095ZCII/AAAAAAAAAEE/nDh975OXfBQ/s320/canales_de_distribucion.png"/>
                    <pic:cNvPicPr>
                      <a:picLocks noChangeAspect="1" noChangeArrowheads="1"/>
                    </pic:cNvPicPr>
                  </pic:nvPicPr>
                  <pic:blipFill>
                    <a:blip r:embed="rId37"/>
                    <a:srcRect/>
                    <a:stretch>
                      <a:fillRect/>
                    </a:stretch>
                  </pic:blipFill>
                  <pic:spPr bwMode="auto">
                    <a:xfrm>
                      <a:off x="0" y="0"/>
                      <a:ext cx="2857500" cy="3045460"/>
                    </a:xfrm>
                    <a:prstGeom prst="rect">
                      <a:avLst/>
                    </a:prstGeom>
                    <a:noFill/>
                    <a:ln w="9525">
                      <a:noFill/>
                      <a:miter lim="800000"/>
                      <a:headEnd/>
                      <a:tailEnd/>
                    </a:ln>
                  </pic:spPr>
                </pic:pic>
              </a:graphicData>
            </a:graphic>
          </wp:inline>
        </w:drawing>
      </w:r>
    </w:p>
    <w:p w:rsidR="00E43BC7" w:rsidRDefault="00E43BC7" w:rsidP="00E43BC7">
      <w:pPr>
        <w:pStyle w:val="Prrafodelista"/>
        <w:jc w:val="center"/>
        <w:rPr>
          <w:rFonts w:ascii="Arial" w:hAnsi="Arial" w:cs="Arial"/>
        </w:rPr>
      </w:pPr>
    </w:p>
    <w:p w:rsidR="00E43BC7" w:rsidRPr="00E43BC7" w:rsidRDefault="00E43BC7" w:rsidP="006E643F">
      <w:pPr>
        <w:pStyle w:val="NormalWeb"/>
        <w:numPr>
          <w:ilvl w:val="0"/>
          <w:numId w:val="3"/>
        </w:numPr>
        <w:rPr>
          <w:rFonts w:ascii="Arial" w:hAnsi="Arial" w:cs="Arial"/>
          <w:color w:val="000000"/>
          <w:sz w:val="22"/>
          <w:szCs w:val="22"/>
          <w:lang w:val="es-ES"/>
        </w:rPr>
      </w:pPr>
      <w:r w:rsidRPr="00E43BC7">
        <w:rPr>
          <w:rFonts w:ascii="Arial" w:hAnsi="Arial" w:cs="Arial"/>
          <w:b/>
          <w:bCs/>
          <w:color w:val="000000"/>
          <w:sz w:val="22"/>
          <w:szCs w:val="22"/>
          <w:lang w:val="es-ES"/>
        </w:rPr>
        <w:lastRenderedPageBreak/>
        <w:t>LA INCORPORACIÓN Y DIFUSICÓN DE NUEVAS TECNOLOGÍAS</w:t>
      </w:r>
    </w:p>
    <w:p w:rsidR="00E43BC7" w:rsidRPr="00E43BC7" w:rsidRDefault="00E43BC7" w:rsidP="00E43BC7">
      <w:pPr>
        <w:pStyle w:val="NormalWeb"/>
        <w:rPr>
          <w:rFonts w:ascii="Arial" w:hAnsi="Arial" w:cs="Arial"/>
          <w:color w:val="000000"/>
          <w:sz w:val="22"/>
          <w:szCs w:val="22"/>
          <w:lang w:val="es-ES"/>
        </w:rPr>
      </w:pPr>
      <w:r w:rsidRPr="00E43BC7">
        <w:rPr>
          <w:rFonts w:ascii="Arial" w:hAnsi="Arial" w:cs="Arial"/>
          <w:color w:val="000000"/>
          <w:sz w:val="22"/>
          <w:szCs w:val="22"/>
          <w:lang w:val="es-ES"/>
        </w:rPr>
        <w:t>Uno de los acontecimientos extraordinarios en la distribución fue el “autoservicio”.</w:t>
      </w:r>
    </w:p>
    <w:p w:rsidR="00E43BC7" w:rsidRPr="00E43BC7" w:rsidRDefault="00E43BC7" w:rsidP="00E43BC7">
      <w:pPr>
        <w:pStyle w:val="NormalWeb"/>
        <w:rPr>
          <w:rFonts w:ascii="Arial" w:hAnsi="Arial" w:cs="Arial"/>
          <w:color w:val="000000"/>
          <w:sz w:val="22"/>
          <w:szCs w:val="22"/>
          <w:lang w:val="es-ES"/>
        </w:rPr>
      </w:pPr>
      <w:r w:rsidRPr="00E43BC7">
        <w:rPr>
          <w:rFonts w:ascii="Arial" w:hAnsi="Arial" w:cs="Arial"/>
          <w:color w:val="000000"/>
          <w:sz w:val="22"/>
          <w:szCs w:val="22"/>
          <w:lang w:val="es-ES"/>
        </w:rPr>
        <w:t>Actualmente, hay una creciente importancia, en la actividad de distribución, de la función de Información, tanto sobre la oferta como sobre la demanda. El flujo de información va del cliente a los fabricantes.</w:t>
      </w:r>
    </w:p>
    <w:p w:rsidR="00E43BC7" w:rsidRPr="00E43BC7" w:rsidRDefault="00E43BC7" w:rsidP="006E643F">
      <w:pPr>
        <w:pStyle w:val="NormalWeb"/>
        <w:numPr>
          <w:ilvl w:val="0"/>
          <w:numId w:val="26"/>
        </w:numPr>
        <w:rPr>
          <w:rFonts w:ascii="Arial" w:hAnsi="Arial" w:cs="Arial"/>
          <w:color w:val="000000"/>
          <w:sz w:val="22"/>
          <w:szCs w:val="22"/>
          <w:lang w:val="es-ES"/>
        </w:rPr>
      </w:pPr>
      <w:r w:rsidRPr="00E43BC7">
        <w:rPr>
          <w:rFonts w:ascii="Arial" w:hAnsi="Arial" w:cs="Arial"/>
          <w:color w:val="000000"/>
          <w:sz w:val="22"/>
          <w:szCs w:val="22"/>
          <w:lang w:val="es-ES"/>
        </w:rPr>
        <w:t>Existe una mayor producción e intercambio de información, fundamentalmente sobre los consumidores, gracias a la utilización generalizada de la informática en las empresas de distribución.</w:t>
      </w:r>
    </w:p>
    <w:p w:rsidR="00E43BC7" w:rsidRPr="00E43BC7" w:rsidRDefault="00E43BC7" w:rsidP="006E643F">
      <w:pPr>
        <w:pStyle w:val="NormalWeb"/>
        <w:numPr>
          <w:ilvl w:val="0"/>
          <w:numId w:val="27"/>
        </w:numPr>
        <w:rPr>
          <w:rFonts w:ascii="Arial" w:hAnsi="Arial" w:cs="Arial"/>
          <w:color w:val="000000"/>
          <w:sz w:val="22"/>
          <w:szCs w:val="22"/>
          <w:lang w:val="es-ES"/>
        </w:rPr>
      </w:pPr>
      <w:r w:rsidRPr="00E43BC7">
        <w:rPr>
          <w:rFonts w:ascii="Arial" w:hAnsi="Arial" w:cs="Arial"/>
          <w:color w:val="000000"/>
          <w:sz w:val="22"/>
          <w:szCs w:val="22"/>
          <w:lang w:val="es-ES"/>
        </w:rPr>
        <w:t>Creciente poder de los distribuidores (gracias a la información sobre los consumidores).</w:t>
      </w:r>
    </w:p>
    <w:p w:rsidR="00E43BC7" w:rsidRPr="00E43BC7" w:rsidRDefault="00E43BC7" w:rsidP="006E643F">
      <w:pPr>
        <w:pStyle w:val="NormalWeb"/>
        <w:numPr>
          <w:ilvl w:val="0"/>
          <w:numId w:val="28"/>
        </w:numPr>
        <w:rPr>
          <w:rFonts w:ascii="Arial" w:hAnsi="Arial" w:cs="Arial"/>
          <w:color w:val="000000"/>
          <w:sz w:val="22"/>
          <w:szCs w:val="22"/>
          <w:lang w:val="es-ES"/>
        </w:rPr>
      </w:pPr>
      <w:r w:rsidRPr="00E43BC7">
        <w:rPr>
          <w:rFonts w:ascii="Arial" w:hAnsi="Arial" w:cs="Arial"/>
          <w:color w:val="000000"/>
          <w:sz w:val="22"/>
          <w:szCs w:val="22"/>
          <w:lang w:val="es-ES"/>
        </w:rPr>
        <w:t>Expansión de los sistemas EDI (Intercambio automatizado de documentos normalizados). Favorece la integración y reduce costes operativos.</w:t>
      </w:r>
    </w:p>
    <w:p w:rsidR="00E43BC7" w:rsidRPr="00E43BC7" w:rsidRDefault="00E43BC7" w:rsidP="006E643F">
      <w:pPr>
        <w:pStyle w:val="NormalWeb"/>
        <w:numPr>
          <w:ilvl w:val="0"/>
          <w:numId w:val="29"/>
        </w:numPr>
        <w:rPr>
          <w:rFonts w:ascii="Arial" w:hAnsi="Arial" w:cs="Arial"/>
          <w:color w:val="000000"/>
          <w:sz w:val="22"/>
          <w:szCs w:val="22"/>
          <w:lang w:val="es-ES"/>
        </w:rPr>
      </w:pPr>
      <w:r w:rsidRPr="00E43BC7">
        <w:rPr>
          <w:rFonts w:ascii="Arial" w:hAnsi="Arial" w:cs="Arial"/>
          <w:color w:val="000000"/>
          <w:sz w:val="22"/>
          <w:szCs w:val="22"/>
          <w:lang w:val="es-ES"/>
        </w:rPr>
        <w:t>Creación y mejora de la infraestructura relacional e informativa de las instituciones europeas competentes en materia de distribución comercial. En España hay una institución, el AECOC (asociaciones Española de Codificación de Comercio); establece una serie de criterios comunes para que los distintos distribuidores puedan implantar un sistema informático conjunto (igual para todos).</w:t>
      </w:r>
    </w:p>
    <w:p w:rsidR="00E43BC7" w:rsidRPr="00E43BC7" w:rsidRDefault="00E43BC7" w:rsidP="006E643F">
      <w:pPr>
        <w:pStyle w:val="NormalWeb"/>
        <w:numPr>
          <w:ilvl w:val="0"/>
          <w:numId w:val="30"/>
        </w:numPr>
        <w:rPr>
          <w:rFonts w:ascii="Arial" w:hAnsi="Arial" w:cs="Arial"/>
          <w:color w:val="000000"/>
          <w:sz w:val="22"/>
          <w:szCs w:val="22"/>
          <w:lang w:val="es-ES"/>
        </w:rPr>
      </w:pPr>
      <w:r w:rsidRPr="00E43BC7">
        <w:rPr>
          <w:rFonts w:ascii="Arial" w:hAnsi="Arial" w:cs="Arial"/>
          <w:color w:val="000000"/>
          <w:sz w:val="22"/>
          <w:szCs w:val="22"/>
          <w:lang w:val="es-ES"/>
        </w:rPr>
        <w:t>Creciente importancia de los aspectos logísticos (logística estandarizada).</w:t>
      </w:r>
    </w:p>
    <w:p w:rsidR="00E43BC7" w:rsidRDefault="007A4AEF" w:rsidP="00E43BC7">
      <w:pPr>
        <w:rPr>
          <w:rFonts w:ascii="Arial" w:hAnsi="Arial" w:cs="Arial"/>
        </w:rPr>
      </w:pPr>
      <w:r>
        <w:rPr>
          <w:rFonts w:ascii="Arial" w:hAnsi="Arial" w:cs="Arial"/>
          <w:noProof/>
          <w:sz w:val="20"/>
          <w:szCs w:val="20"/>
          <w:lang w:eastAsia="es-CO"/>
        </w:rPr>
        <w:drawing>
          <wp:inline distT="0" distB="0" distL="0" distR="0">
            <wp:extent cx="5608955" cy="3918585"/>
            <wp:effectExtent l="19050" t="0" r="0" b="0"/>
            <wp:docPr id="40" name="il_fi" descr="http://www.civinext.com/imagenes/servicios/plano_metodolog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ivinext.com/imagenes/servicios/plano_metodologia.gif"/>
                    <pic:cNvPicPr>
                      <a:picLocks noChangeAspect="1" noChangeArrowheads="1"/>
                    </pic:cNvPicPr>
                  </pic:nvPicPr>
                  <pic:blipFill>
                    <a:blip r:embed="rId38"/>
                    <a:srcRect/>
                    <a:stretch>
                      <a:fillRect/>
                    </a:stretch>
                  </pic:blipFill>
                  <pic:spPr bwMode="auto">
                    <a:xfrm>
                      <a:off x="0" y="0"/>
                      <a:ext cx="5608955" cy="3918585"/>
                    </a:xfrm>
                    <a:prstGeom prst="rect">
                      <a:avLst/>
                    </a:prstGeom>
                    <a:noFill/>
                    <a:ln w="9525">
                      <a:noFill/>
                      <a:miter lim="800000"/>
                      <a:headEnd/>
                      <a:tailEnd/>
                    </a:ln>
                  </pic:spPr>
                </pic:pic>
              </a:graphicData>
            </a:graphic>
          </wp:inline>
        </w:drawing>
      </w:r>
    </w:p>
    <w:p w:rsidR="004312AB" w:rsidRPr="004312AB" w:rsidRDefault="004312AB" w:rsidP="006E643F">
      <w:pPr>
        <w:pStyle w:val="Sinespaciado"/>
        <w:numPr>
          <w:ilvl w:val="0"/>
          <w:numId w:val="3"/>
        </w:numPr>
        <w:rPr>
          <w:rFonts w:ascii="Arial" w:hAnsi="Arial" w:cs="Arial"/>
          <w:lang w:eastAsia="es-CO"/>
        </w:rPr>
      </w:pPr>
      <w:r>
        <w:rPr>
          <w:rFonts w:ascii="Arial" w:hAnsi="Arial" w:cs="Arial"/>
          <w:lang w:eastAsia="es-CO"/>
        </w:rPr>
        <w:lastRenderedPageBreak/>
        <w:t>Qué es.</w:t>
      </w:r>
    </w:p>
    <w:p w:rsidR="004312AB" w:rsidRPr="004312AB" w:rsidRDefault="004312AB" w:rsidP="004312AB">
      <w:pPr>
        <w:pStyle w:val="Sinespaciado"/>
        <w:jc w:val="both"/>
        <w:rPr>
          <w:rFonts w:ascii="Arial" w:hAnsi="Arial" w:cs="Arial"/>
          <w:lang w:eastAsia="es-CO"/>
        </w:rPr>
      </w:pPr>
      <w:r w:rsidRPr="004312AB">
        <w:rPr>
          <w:rFonts w:ascii="Arial" w:hAnsi="Arial" w:cs="Arial"/>
          <w:lang w:eastAsia="es-CO"/>
        </w:rPr>
        <w:t>Los proyectos de Respuesta Eficiente al Consumidor (ECR o Efficient Customer Response), conjunto de estrategias en las que clientes y proveedores trabajan conjuntamente para aportar valor añadido a los consumidores, pero a la vez reduciendo los costes de gestión de pedidos y almacenaje.</w:t>
      </w:r>
    </w:p>
    <w:p w:rsidR="004312AB" w:rsidRPr="004312AB" w:rsidRDefault="004312AB" w:rsidP="004312AB">
      <w:pPr>
        <w:spacing w:after="0" w:line="240" w:lineRule="auto"/>
        <w:jc w:val="both"/>
        <w:rPr>
          <w:rFonts w:ascii="Arial" w:hAnsi="Arial" w:cs="Arial"/>
        </w:rPr>
      </w:pPr>
    </w:p>
    <w:p w:rsidR="004312AB" w:rsidRPr="004312AB" w:rsidRDefault="004312AB" w:rsidP="004312AB">
      <w:pPr>
        <w:spacing w:after="0" w:line="240" w:lineRule="auto"/>
        <w:jc w:val="both"/>
        <w:rPr>
          <w:rFonts w:ascii="Arial" w:eastAsia="Times New Roman" w:hAnsi="Arial" w:cs="Arial"/>
          <w:lang w:eastAsia="es-CO"/>
        </w:rPr>
      </w:pPr>
      <w:r w:rsidRPr="004312AB">
        <w:rPr>
          <w:rFonts w:ascii="Arial" w:eastAsia="Times New Roman" w:hAnsi="Arial" w:cs="Arial"/>
          <w:lang w:eastAsia="es-CO"/>
        </w:rPr>
        <w:t xml:space="preserve">Como muestra la siguiente figura, lo normal es que sea el cliente (por ejemplo, El Corte Inglés) quien haga el pedido al proveedor (, por ejemplo, la Coca Cola). Hace años este proceso se hubiera hecho por carta, posteriormente por fax o teléfono y, más recientemente por correo electrónico. </w:t>
      </w:r>
    </w:p>
    <w:p w:rsidR="004312AB" w:rsidRPr="004312AB" w:rsidRDefault="004312AB" w:rsidP="004312AB">
      <w:pPr>
        <w:spacing w:after="0" w:line="240" w:lineRule="auto"/>
        <w:jc w:val="center"/>
        <w:rPr>
          <w:rFonts w:ascii="Arial" w:eastAsia="Times New Roman" w:hAnsi="Arial" w:cs="Arial"/>
          <w:lang w:eastAsia="es-CO"/>
        </w:rPr>
      </w:pPr>
      <w:r w:rsidRPr="004312AB">
        <w:rPr>
          <w:rFonts w:ascii="Arial" w:eastAsia="Times New Roman" w:hAnsi="Arial" w:cs="Arial"/>
          <w:noProof/>
          <w:lang w:eastAsia="es-CO"/>
        </w:rPr>
        <w:drawing>
          <wp:inline distT="0" distB="0" distL="0" distR="0">
            <wp:extent cx="3559810" cy="2506345"/>
            <wp:effectExtent l="19050" t="0" r="2540" b="0"/>
            <wp:docPr id="54" name="Imagen 54" descr="http://www.ciberconta.unizar.es/leccion/INTRODUC/DIBUJOS/ec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ciberconta.unizar.es/leccion/INTRODUC/DIBUJOS/ecr1.GIF"/>
                    <pic:cNvPicPr>
                      <a:picLocks noChangeAspect="1" noChangeArrowheads="1"/>
                    </pic:cNvPicPr>
                  </pic:nvPicPr>
                  <pic:blipFill>
                    <a:blip r:embed="rId39"/>
                    <a:srcRect/>
                    <a:stretch>
                      <a:fillRect/>
                    </a:stretch>
                  </pic:blipFill>
                  <pic:spPr bwMode="auto">
                    <a:xfrm>
                      <a:off x="0" y="0"/>
                      <a:ext cx="3559810" cy="2506345"/>
                    </a:xfrm>
                    <a:prstGeom prst="rect">
                      <a:avLst/>
                    </a:prstGeom>
                    <a:noFill/>
                    <a:ln w="9525">
                      <a:noFill/>
                      <a:miter lim="800000"/>
                      <a:headEnd/>
                      <a:tailEnd/>
                    </a:ln>
                  </pic:spPr>
                </pic:pic>
              </a:graphicData>
            </a:graphic>
          </wp:inline>
        </w:drawing>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lang w:eastAsia="es-CO"/>
        </w:rPr>
        <w:t xml:space="preserve">Con un software de EDI (Intercambio Electrónico de Datos), el Corte Inglés enviaría un mensaje normalizado llamado </w:t>
      </w:r>
      <w:r w:rsidRPr="004312AB">
        <w:rPr>
          <w:rFonts w:ascii="Arial" w:eastAsia="Times New Roman" w:hAnsi="Arial" w:cs="Arial"/>
          <w:b/>
          <w:bCs/>
          <w:lang w:eastAsia="es-CO"/>
        </w:rPr>
        <w:t>ORDERS</w:t>
      </w:r>
      <w:r w:rsidRPr="004312AB">
        <w:rPr>
          <w:rFonts w:ascii="Arial" w:eastAsia="Times New Roman" w:hAnsi="Arial" w:cs="Arial"/>
          <w:lang w:eastAsia="es-CO"/>
        </w:rPr>
        <w:t xml:space="preserve"> (Purchase Order Message). Como vemos que es </w:t>
      </w:r>
      <w:r w:rsidRPr="004312AB">
        <w:rPr>
          <w:rFonts w:ascii="Arial" w:eastAsia="Times New Roman" w:hAnsi="Arial" w:cs="Arial"/>
          <w:b/>
          <w:bCs/>
          <w:lang w:eastAsia="es-CO"/>
        </w:rPr>
        <w:t>el mismo procedimiento solo que a mayor velocidad</w:t>
      </w:r>
      <w:r w:rsidRPr="004312AB">
        <w:rPr>
          <w:rFonts w:ascii="Arial" w:eastAsia="Times New Roman" w:hAnsi="Arial" w:cs="Arial"/>
          <w:lang w:eastAsia="es-CO"/>
        </w:rPr>
        <w:t>.</w:t>
      </w:r>
    </w:p>
    <w:p w:rsidR="004312AB" w:rsidRPr="004312AB" w:rsidRDefault="004312AB" w:rsidP="004312AB">
      <w:pPr>
        <w:spacing w:after="0" w:line="240" w:lineRule="auto"/>
        <w:jc w:val="center"/>
        <w:rPr>
          <w:rFonts w:ascii="Arial" w:eastAsia="Times New Roman" w:hAnsi="Arial" w:cs="Arial"/>
          <w:lang w:eastAsia="es-CO"/>
        </w:rPr>
      </w:pPr>
      <w:r w:rsidRPr="004312AB">
        <w:rPr>
          <w:rFonts w:ascii="Arial" w:eastAsia="Times New Roman" w:hAnsi="Arial" w:cs="Arial"/>
          <w:noProof/>
          <w:lang w:eastAsia="es-CO"/>
        </w:rPr>
        <w:drawing>
          <wp:inline distT="0" distB="0" distL="0" distR="0">
            <wp:extent cx="3559810" cy="2506345"/>
            <wp:effectExtent l="19050" t="0" r="2540" b="0"/>
            <wp:docPr id="55" name="Imagen 55" descr="http://www.ciberconta.unizar.es/leccion/INTRODUC/DIBUJOS/ecr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ciberconta.unizar.es/leccion/INTRODUC/DIBUJOS/ecr1-5.GIF"/>
                    <pic:cNvPicPr>
                      <a:picLocks noChangeAspect="1" noChangeArrowheads="1"/>
                    </pic:cNvPicPr>
                  </pic:nvPicPr>
                  <pic:blipFill>
                    <a:blip r:embed="rId40"/>
                    <a:srcRect/>
                    <a:stretch>
                      <a:fillRect/>
                    </a:stretch>
                  </pic:blipFill>
                  <pic:spPr bwMode="auto">
                    <a:xfrm>
                      <a:off x="0" y="0"/>
                      <a:ext cx="3559810" cy="2506345"/>
                    </a:xfrm>
                    <a:prstGeom prst="rect">
                      <a:avLst/>
                    </a:prstGeom>
                    <a:noFill/>
                    <a:ln w="9525">
                      <a:noFill/>
                      <a:miter lim="800000"/>
                      <a:headEnd/>
                      <a:tailEnd/>
                    </a:ln>
                  </pic:spPr>
                </pic:pic>
              </a:graphicData>
            </a:graphic>
          </wp:inline>
        </w:drawing>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lang w:eastAsia="es-CO"/>
        </w:rPr>
        <w:t xml:space="preserve">Pero ¿Quién sabe más de vender Coca Colas? ¿El Corte Inglés o la Coca Cola? Es decir, ¿quién puede predecir mejor la demanda de Coca Colas? Probablemente todos contestaríamos que la Coca Cola, pues dispone de métodos de cálculo que sobre la base </w:t>
      </w:r>
      <w:r w:rsidRPr="004312AB">
        <w:rPr>
          <w:rFonts w:ascii="Arial" w:eastAsia="Times New Roman" w:hAnsi="Arial" w:cs="Arial"/>
          <w:lang w:eastAsia="es-CO"/>
        </w:rPr>
        <w:lastRenderedPageBreak/>
        <w:t xml:space="preserve">del clima, campañas de marketing, </w:t>
      </w:r>
      <w:r w:rsidR="00283F40" w:rsidRPr="004312AB">
        <w:rPr>
          <w:rFonts w:ascii="Arial" w:eastAsia="Times New Roman" w:hAnsi="Arial" w:cs="Arial"/>
          <w:lang w:eastAsia="es-CO"/>
        </w:rPr>
        <w:t>etc.</w:t>
      </w:r>
      <w:r w:rsidRPr="004312AB">
        <w:rPr>
          <w:rFonts w:ascii="Arial" w:eastAsia="Times New Roman" w:hAnsi="Arial" w:cs="Arial"/>
          <w:lang w:eastAsia="es-CO"/>
        </w:rPr>
        <w:t xml:space="preserve"> puede calcular mejor que el Corte Inglés cuantas Coca Colas van a venderse. Entonces dejemos que sea ella quién, a partir de los datos de existencias de Coca Colas en el almacén de El Corte Inglés, haga la "propuesta de pedido".</w:t>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lang w:eastAsia="es-CO"/>
        </w:rPr>
        <w:t xml:space="preserve">De eso trata el ECR o Respuesta Eficiente al Proveedor. La pieza clave del ERC es el intercambio de información del punto de venta entre cliente y proveedor. A partir de ahí, se trata generar previsiones de demanda consensuadas y compartir la gestión de los stocks. Los mensajes fundamentales de EDI que intervienen en el ECR son dos: el </w:t>
      </w:r>
      <w:r w:rsidRPr="004312AB">
        <w:rPr>
          <w:rFonts w:ascii="Arial" w:eastAsia="Times New Roman" w:hAnsi="Arial" w:cs="Arial"/>
          <w:b/>
          <w:bCs/>
          <w:lang w:eastAsia="es-CO"/>
        </w:rPr>
        <w:t>INVRPT</w:t>
      </w:r>
      <w:r w:rsidRPr="004312AB">
        <w:rPr>
          <w:rFonts w:ascii="Arial" w:eastAsia="Times New Roman" w:hAnsi="Arial" w:cs="Arial"/>
          <w:lang w:eastAsia="es-CO"/>
        </w:rPr>
        <w:t xml:space="preserve"> (Inventory Report) y el </w:t>
      </w:r>
      <w:r w:rsidRPr="004312AB">
        <w:rPr>
          <w:rFonts w:ascii="Arial" w:eastAsia="Times New Roman" w:hAnsi="Arial" w:cs="Arial"/>
          <w:b/>
          <w:bCs/>
          <w:lang w:eastAsia="es-CO"/>
        </w:rPr>
        <w:t>ORDERS</w:t>
      </w:r>
      <w:r w:rsidRPr="004312AB">
        <w:rPr>
          <w:rFonts w:ascii="Arial" w:eastAsia="Times New Roman" w:hAnsi="Arial" w:cs="Arial"/>
          <w:lang w:eastAsia="es-CO"/>
        </w:rPr>
        <w:t>. Mediante el INVRPT, el cliente (El Corte Inglés) transmite información sobre el nivel de stock. El Corte Inglés envía el mensaje INVRPT, con el estado de las existencias de los productos del fabricante y el proveedor, estudia esos datos y hace una propuesta de pedido, enviando el mensaje ORDERS... curioso ¿no?</w:t>
      </w:r>
    </w:p>
    <w:p w:rsidR="004312AB" w:rsidRPr="004312AB" w:rsidRDefault="004312AB" w:rsidP="004312AB">
      <w:pPr>
        <w:spacing w:after="0" w:line="240" w:lineRule="auto"/>
        <w:jc w:val="center"/>
        <w:rPr>
          <w:rFonts w:ascii="Arial" w:eastAsia="Times New Roman" w:hAnsi="Arial" w:cs="Arial"/>
          <w:lang w:eastAsia="es-CO"/>
        </w:rPr>
      </w:pPr>
      <w:r w:rsidRPr="004312AB">
        <w:rPr>
          <w:rFonts w:ascii="Arial" w:eastAsia="Times New Roman" w:hAnsi="Arial" w:cs="Arial"/>
          <w:noProof/>
          <w:lang w:eastAsia="es-CO"/>
        </w:rPr>
        <w:drawing>
          <wp:inline distT="0" distB="0" distL="0" distR="0">
            <wp:extent cx="3568065" cy="2457450"/>
            <wp:effectExtent l="19050" t="0" r="0" b="0"/>
            <wp:docPr id="56" name="Imagen 56" descr="http://www.ciberconta.unizar.es/leccion/INTRODUC/DIBUJOS/ec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ciberconta.unizar.es/leccion/INTRODUC/DIBUJOS/ecr2.GIF"/>
                    <pic:cNvPicPr>
                      <a:picLocks noChangeAspect="1" noChangeArrowheads="1"/>
                    </pic:cNvPicPr>
                  </pic:nvPicPr>
                  <pic:blipFill>
                    <a:blip r:embed="rId41"/>
                    <a:srcRect/>
                    <a:stretch>
                      <a:fillRect/>
                    </a:stretch>
                  </pic:blipFill>
                  <pic:spPr bwMode="auto">
                    <a:xfrm>
                      <a:off x="0" y="0"/>
                      <a:ext cx="3568065" cy="2457450"/>
                    </a:xfrm>
                    <a:prstGeom prst="rect">
                      <a:avLst/>
                    </a:prstGeom>
                    <a:noFill/>
                    <a:ln w="9525">
                      <a:noFill/>
                      <a:miter lim="800000"/>
                      <a:headEnd/>
                      <a:tailEnd/>
                    </a:ln>
                  </pic:spPr>
                </pic:pic>
              </a:graphicData>
            </a:graphic>
          </wp:inline>
        </w:drawing>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lang w:eastAsia="es-CO"/>
        </w:rPr>
        <w:t xml:space="preserve">El mensaje ORDERS es el pedido, pero en este caso es un mensaje muy especial, porque en el ECR lo normal es que los pedidos los haga el proveedor, -y no el cliente-. ¿Por qué? Porque </w:t>
      </w:r>
      <w:r w:rsidRPr="004312AB">
        <w:rPr>
          <w:rFonts w:ascii="Arial" w:eastAsia="Times New Roman" w:hAnsi="Arial" w:cs="Arial"/>
          <w:b/>
          <w:bCs/>
          <w:lang w:eastAsia="es-CO"/>
        </w:rPr>
        <w:t>es el proveedor quien gestiona el inventario, y por lo tanto procesa el pedido a partir de la información que ha recibido</w:t>
      </w:r>
      <w:r w:rsidRPr="004312AB">
        <w:rPr>
          <w:rFonts w:ascii="Arial" w:eastAsia="Times New Roman" w:hAnsi="Arial" w:cs="Arial"/>
          <w:lang w:eastAsia="es-CO"/>
        </w:rPr>
        <w:t xml:space="preserve"> de INVRPT.</w:t>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noProof/>
          <w:lang w:eastAsia="es-CO"/>
        </w:rPr>
        <w:drawing>
          <wp:anchor distT="0" distB="0" distL="0" distR="0" simplePos="0" relativeHeight="251665408" behindDoc="0" locked="0" layoutInCell="1" allowOverlap="0">
            <wp:simplePos x="0" y="0"/>
            <wp:positionH relativeFrom="column">
              <wp:align>left</wp:align>
            </wp:positionH>
            <wp:positionV relativeFrom="line">
              <wp:posOffset>0</wp:posOffset>
            </wp:positionV>
            <wp:extent cx="2590800" cy="1581150"/>
            <wp:effectExtent l="19050" t="0" r="0" b="0"/>
            <wp:wrapSquare wrapText="bothSides"/>
            <wp:docPr id="6" name="Imagen 6" descr="http://www.ciberconta.unizar.es/leccion/econta/DIBUJOS/ec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iberconta.unizar.es/leccion/econta/DIBUJOS/ecr.GIF"/>
                    <pic:cNvPicPr>
                      <a:picLocks noChangeAspect="1" noChangeArrowheads="1"/>
                    </pic:cNvPicPr>
                  </pic:nvPicPr>
                  <pic:blipFill>
                    <a:blip r:embed="rId42"/>
                    <a:srcRect/>
                    <a:stretch>
                      <a:fillRect/>
                    </a:stretch>
                  </pic:blipFill>
                  <pic:spPr bwMode="auto">
                    <a:xfrm>
                      <a:off x="0" y="0"/>
                      <a:ext cx="2590800" cy="1581150"/>
                    </a:xfrm>
                    <a:prstGeom prst="rect">
                      <a:avLst/>
                    </a:prstGeom>
                    <a:noFill/>
                    <a:ln w="9525">
                      <a:noFill/>
                      <a:miter lim="800000"/>
                      <a:headEnd/>
                      <a:tailEnd/>
                    </a:ln>
                  </pic:spPr>
                </pic:pic>
              </a:graphicData>
            </a:graphic>
          </wp:anchor>
        </w:drawing>
      </w:r>
      <w:r w:rsidRPr="004312AB">
        <w:rPr>
          <w:rFonts w:ascii="Arial" w:eastAsia="Times New Roman" w:hAnsi="Arial" w:cs="Arial"/>
          <w:lang w:eastAsia="es-CO"/>
        </w:rPr>
        <w:t xml:space="preserve">De acuerdo con el estudio piloto sobre la implantación en España del ECR, llevado a cabo por AECOC, PROMARCA y Andersen Consulting, existen oportunidades significativas de mejora que se pueden explotar a través de la colaboración entre fabricantes y distribuidores. Los ahorros totales -almacenaje, manipulación, menos roturas de stock, transporte, menos gastos de administración, etc.- supusieron un 0,5% sobre el precio de venta al público. </w:t>
      </w:r>
      <w:r w:rsidRPr="004312AB">
        <w:rPr>
          <w:rFonts w:ascii="Arial" w:eastAsia="Times New Roman" w:hAnsi="Arial" w:cs="Arial"/>
          <w:b/>
          <w:bCs/>
          <w:lang w:eastAsia="es-CO"/>
        </w:rPr>
        <w:t>En cuanto al impacto en el ámbito administrativo-contable, se rebajaron los errores en los pedidos del 5% al 0,5%. Los errores en facturas pasaron del 8% al 1%</w:t>
      </w:r>
      <w:r w:rsidRPr="004312AB">
        <w:rPr>
          <w:rFonts w:ascii="Arial" w:eastAsia="Times New Roman" w:hAnsi="Arial" w:cs="Arial"/>
          <w:lang w:eastAsia="es-CO"/>
        </w:rPr>
        <w:t>. El ahorro en costes de administración fue del 16,72%, lo que repercute en el precio de venta al público en un 0,02%.</w:t>
      </w:r>
    </w:p>
    <w:p w:rsidR="004312AB" w:rsidRPr="004312AB" w:rsidRDefault="004312AB" w:rsidP="004312AB">
      <w:pPr>
        <w:spacing w:before="100" w:beforeAutospacing="1" w:after="100" w:afterAutospacing="1" w:line="240" w:lineRule="auto"/>
        <w:jc w:val="both"/>
        <w:rPr>
          <w:rFonts w:ascii="Arial" w:eastAsia="Times New Roman" w:hAnsi="Arial" w:cs="Arial"/>
          <w:lang w:eastAsia="es-CO"/>
        </w:rPr>
      </w:pPr>
      <w:r w:rsidRPr="004312AB">
        <w:rPr>
          <w:rFonts w:ascii="Arial" w:eastAsia="Times New Roman" w:hAnsi="Arial" w:cs="Arial"/>
          <w:lang w:eastAsia="es-CO"/>
        </w:rPr>
        <w:lastRenderedPageBreak/>
        <w:t>Si se extiende esta tecnología, el hipermercado deja de hacer los pedidos y de ello se encargan los proveedores. Como vemos, la tecnología no es sólo cuestión de velocidad sino de cambios organizativos.</w:t>
      </w:r>
    </w:p>
    <w:p w:rsidR="004312AB" w:rsidRDefault="004312AB" w:rsidP="004312AB">
      <w:pPr>
        <w:spacing w:after="100" w:line="240" w:lineRule="auto"/>
        <w:jc w:val="center"/>
        <w:rPr>
          <w:rFonts w:ascii="Times New Roman" w:eastAsia="Times New Roman" w:hAnsi="Times New Roman"/>
          <w:sz w:val="24"/>
          <w:szCs w:val="24"/>
          <w:lang w:eastAsia="es-CO"/>
        </w:rPr>
      </w:pPr>
      <w:r>
        <w:rPr>
          <w:rFonts w:ascii="Verdana" w:eastAsia="Times New Roman" w:hAnsi="Verdana"/>
          <w:noProof/>
          <w:sz w:val="20"/>
          <w:szCs w:val="20"/>
          <w:lang w:eastAsia="es-CO"/>
        </w:rPr>
        <w:drawing>
          <wp:inline distT="0" distB="0" distL="0" distR="0">
            <wp:extent cx="4258441" cy="1796143"/>
            <wp:effectExtent l="19050" t="0" r="8759" b="0"/>
            <wp:docPr id="60" name="Imagen 60" descr="http://www.ciberconta.unizar.es/leccion/ECR/DIBUJOS/d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ciberconta.unizar.es/leccion/ECR/DIBUJOS/desa.jpg"/>
                    <pic:cNvPicPr>
                      <a:picLocks noChangeAspect="1" noChangeArrowheads="1"/>
                    </pic:cNvPicPr>
                  </pic:nvPicPr>
                  <pic:blipFill>
                    <a:blip r:embed="rId43"/>
                    <a:srcRect/>
                    <a:stretch>
                      <a:fillRect/>
                    </a:stretch>
                  </pic:blipFill>
                  <pic:spPr bwMode="auto">
                    <a:xfrm>
                      <a:off x="0" y="0"/>
                      <a:ext cx="4261415" cy="1797398"/>
                    </a:xfrm>
                    <a:prstGeom prst="rect">
                      <a:avLst/>
                    </a:prstGeom>
                    <a:noFill/>
                    <a:ln w="9525">
                      <a:noFill/>
                      <a:miter lim="800000"/>
                      <a:headEnd/>
                      <a:tailEnd/>
                    </a:ln>
                  </pic:spPr>
                </pic:pic>
              </a:graphicData>
            </a:graphic>
          </wp:inline>
        </w:drawing>
      </w:r>
    </w:p>
    <w:p w:rsidR="004312AB" w:rsidRDefault="004312AB" w:rsidP="004312AB">
      <w:pPr>
        <w:spacing w:after="100" w:line="240" w:lineRule="auto"/>
        <w:jc w:val="center"/>
        <w:rPr>
          <w:rFonts w:ascii="Times New Roman" w:eastAsia="Times New Roman" w:hAnsi="Times New Roman"/>
          <w:sz w:val="24"/>
          <w:szCs w:val="24"/>
          <w:lang w:eastAsia="es-CO"/>
        </w:rPr>
      </w:pPr>
    </w:p>
    <w:p w:rsidR="004312AB" w:rsidRPr="00BD64FF" w:rsidRDefault="004312AB" w:rsidP="006E643F">
      <w:pPr>
        <w:pStyle w:val="Sinespaciado"/>
        <w:numPr>
          <w:ilvl w:val="0"/>
          <w:numId w:val="3"/>
        </w:numPr>
        <w:jc w:val="both"/>
        <w:rPr>
          <w:rFonts w:ascii="Arial" w:hAnsi="Arial" w:cs="Arial"/>
          <w:sz w:val="20"/>
          <w:szCs w:val="20"/>
        </w:rPr>
      </w:pPr>
      <w:r w:rsidRPr="00BD64FF">
        <w:rPr>
          <w:rFonts w:ascii="Arial" w:hAnsi="Arial" w:cs="Arial"/>
          <w:sz w:val="20"/>
          <w:szCs w:val="20"/>
        </w:rPr>
        <w:t>La Trazabilidad es el conjunto de procedimientos establecidos que permite conocer el histórico, ubicación y trayectoria de un producto a lo largo de toda la cadena de suministro, y localizar en cualquier punto de dicha cadena, tanto información intrínseca del producto como procedencia, tratamiento aplicado, procesos, almacenamiento, transporte, distribución, localización de producto, etc.</w:t>
      </w:r>
    </w:p>
    <w:p w:rsidR="004312AB" w:rsidRPr="00BD64FF" w:rsidRDefault="004312AB" w:rsidP="004312AB">
      <w:pPr>
        <w:pStyle w:val="Sinespaciado"/>
        <w:jc w:val="both"/>
        <w:rPr>
          <w:rFonts w:ascii="Arial" w:hAnsi="Arial" w:cs="Arial"/>
          <w:bCs/>
          <w:sz w:val="20"/>
          <w:szCs w:val="20"/>
          <w:lang w:eastAsia="es-CO"/>
        </w:rPr>
      </w:pPr>
    </w:p>
    <w:p w:rsidR="004312AB" w:rsidRPr="00BD64FF" w:rsidRDefault="004312AB" w:rsidP="004312AB">
      <w:pPr>
        <w:pStyle w:val="Sinespaciado"/>
        <w:jc w:val="both"/>
        <w:rPr>
          <w:rFonts w:ascii="Arial" w:hAnsi="Arial" w:cs="Arial"/>
          <w:sz w:val="20"/>
          <w:szCs w:val="20"/>
          <w:lang w:eastAsia="es-CO"/>
        </w:rPr>
      </w:pPr>
      <w:r w:rsidRPr="00BD64FF">
        <w:rPr>
          <w:rFonts w:ascii="Arial" w:hAnsi="Arial" w:cs="Arial"/>
          <w:sz w:val="20"/>
          <w:szCs w:val="20"/>
          <w:lang w:eastAsia="es-CO"/>
        </w:rPr>
        <w:t>La norma UNE 66.901-92 define trazabilidad como la "capacidad para reconstruir el historial de la utilización o la localización de un artículo o producto mediante una identificación registrada" Un proceso de trazabilidad completo y fiable a lo largo de la cadena de suministro de un producto es una de las herramientas indispensables a la hora de prevenir y detectar una crisis.</w:t>
      </w:r>
      <w:r w:rsidRPr="00BD64FF">
        <w:rPr>
          <w:rFonts w:ascii="Arial" w:hAnsi="Arial" w:cs="Arial"/>
          <w:sz w:val="20"/>
          <w:szCs w:val="20"/>
          <w:lang w:eastAsia="es-CO"/>
        </w:rPr>
        <w:br/>
        <w:t>El término trazabilidad se puede referir al origen de las materias primas, el histórico de los procesos aplicados al producto, la distribución y la localización del producto después de la entrega.</w:t>
      </w:r>
      <w:r w:rsidRPr="00BD64FF">
        <w:rPr>
          <w:rFonts w:ascii="Arial" w:hAnsi="Arial" w:cs="Arial"/>
          <w:sz w:val="20"/>
          <w:szCs w:val="20"/>
          <w:lang w:eastAsia="es-CO"/>
        </w:rPr>
        <w:br/>
        <w:t>Un proceso de trazabilidad implica la colaboración entre los distintos agentes de la cadena de suministro. El control de las materias primas y el proceso productivo en cada una de las empresas de forma individual no es suficiente. Es necesaria la transmisión de información a lo largo de todo el circuito de aprovisionamiento. La trazabilidad es el resultado de una acción global concertada.</w:t>
      </w:r>
      <w:r w:rsidRPr="00BD64FF">
        <w:rPr>
          <w:rFonts w:ascii="Arial" w:hAnsi="Arial" w:cs="Arial"/>
          <w:sz w:val="20"/>
          <w:szCs w:val="20"/>
          <w:lang w:eastAsia="es-CO"/>
        </w:rPr>
        <w:br/>
        <w:t>Así mismo, son imprescindibles en un proceso de trazabilidad: una codificación rigurosa y exhaustiva, la identificación automática (que permita leer de forma automatizada la información y así evitar errores y ganar eficacia) y los intercambios de información entre distintos agentes de la cadena o dentro de una misma empresa.</w:t>
      </w:r>
      <w:r w:rsidRPr="00BD64FF">
        <w:rPr>
          <w:rFonts w:ascii="Arial" w:hAnsi="Arial" w:cs="Arial"/>
          <w:sz w:val="20"/>
          <w:szCs w:val="20"/>
          <w:lang w:eastAsia="es-CO"/>
        </w:rPr>
        <w:br/>
      </w:r>
      <w:r w:rsidRPr="00BD64FF">
        <w:rPr>
          <w:rFonts w:ascii="Arial" w:hAnsi="Arial" w:cs="Arial"/>
          <w:sz w:val="20"/>
          <w:szCs w:val="20"/>
          <w:lang w:eastAsia="es-CO"/>
        </w:rPr>
        <w:br/>
        <w:t> </w:t>
      </w:r>
    </w:p>
    <w:p w:rsidR="004312AB" w:rsidRPr="00BD64FF" w:rsidRDefault="004312AB" w:rsidP="004312AB">
      <w:pPr>
        <w:pStyle w:val="Sinespaciado"/>
        <w:jc w:val="both"/>
        <w:rPr>
          <w:rFonts w:ascii="Arial" w:hAnsi="Arial" w:cs="Arial"/>
          <w:sz w:val="20"/>
          <w:szCs w:val="20"/>
          <w:lang w:eastAsia="es-CO"/>
        </w:rPr>
      </w:pPr>
      <w:r w:rsidRPr="00BD64FF">
        <w:rPr>
          <w:rFonts w:ascii="Arial" w:hAnsi="Arial" w:cs="Arial"/>
          <w:bCs/>
          <w:sz w:val="20"/>
          <w:szCs w:val="20"/>
          <w:lang w:eastAsia="es-CO"/>
        </w:rPr>
        <w:t>Definición de Trazabilidad según AECOC:</w:t>
      </w:r>
      <w:r w:rsidRPr="00BD64FF">
        <w:rPr>
          <w:rFonts w:ascii="Arial" w:hAnsi="Arial" w:cs="Arial"/>
          <w:sz w:val="20"/>
          <w:szCs w:val="20"/>
          <w:lang w:eastAsia="es-CO"/>
        </w:rPr>
        <w:t>"Procedimientos que permiten controlar el histórico, la situación física y la trayectoria de un producto o lote de productos a lo largo de la cadena de suministro en un momento dado, a través de unas herramientas determinadas" (AECOC: Asociación Española de Codificación Comercial. Logística Inversa Trazabilidad. p. 5)  </w:t>
      </w:r>
    </w:p>
    <w:p w:rsidR="004312AB" w:rsidRPr="00BD64FF" w:rsidRDefault="004312AB" w:rsidP="004312AB">
      <w:pPr>
        <w:pStyle w:val="Sinespaciado"/>
        <w:jc w:val="both"/>
        <w:rPr>
          <w:rFonts w:ascii="Arial" w:hAnsi="Arial" w:cs="Arial"/>
          <w:sz w:val="20"/>
          <w:szCs w:val="20"/>
        </w:rPr>
      </w:pPr>
    </w:p>
    <w:p w:rsidR="004312AB" w:rsidRPr="00BD64FF" w:rsidRDefault="004312AB" w:rsidP="006E643F">
      <w:pPr>
        <w:pStyle w:val="Sinespaciado"/>
        <w:numPr>
          <w:ilvl w:val="0"/>
          <w:numId w:val="31"/>
        </w:numPr>
        <w:jc w:val="both"/>
        <w:rPr>
          <w:rFonts w:ascii="Arial" w:hAnsi="Arial" w:cs="Arial"/>
          <w:b/>
          <w:sz w:val="20"/>
          <w:szCs w:val="20"/>
        </w:rPr>
      </w:pPr>
      <w:r w:rsidRPr="00BD64FF">
        <w:rPr>
          <w:rFonts w:ascii="Arial" w:hAnsi="Arial" w:cs="Arial"/>
          <w:b/>
          <w:sz w:val="20"/>
          <w:szCs w:val="20"/>
        </w:rPr>
        <w:t xml:space="preserve">Clasificar </w:t>
      </w:r>
    </w:p>
    <w:p w:rsidR="004312AB" w:rsidRPr="00BD64FF" w:rsidRDefault="004312AB" w:rsidP="004312AB">
      <w:pPr>
        <w:pStyle w:val="Sinespaciado"/>
        <w:ind w:left="360"/>
        <w:jc w:val="both"/>
        <w:rPr>
          <w:rFonts w:ascii="Arial" w:hAnsi="Arial" w:cs="Arial"/>
          <w:b/>
          <w:sz w:val="20"/>
          <w:szCs w:val="20"/>
        </w:rPr>
      </w:pPr>
    </w:p>
    <w:p w:rsidR="004312AB" w:rsidRDefault="004312AB" w:rsidP="004312AB">
      <w:pPr>
        <w:pStyle w:val="Sinespaciado"/>
        <w:jc w:val="both"/>
        <w:rPr>
          <w:rFonts w:ascii="Arial" w:hAnsi="Arial" w:cs="Arial"/>
          <w:b/>
          <w:sz w:val="20"/>
          <w:szCs w:val="20"/>
        </w:rPr>
      </w:pPr>
      <w:r w:rsidRPr="00BD64FF">
        <w:rPr>
          <w:rFonts w:ascii="Arial" w:hAnsi="Arial" w:cs="Arial"/>
          <w:sz w:val="20"/>
          <w:szCs w:val="20"/>
        </w:rPr>
        <w:t xml:space="preserve">La trazabilidad esta compuesta por procedimientos preestablecidos que permite conocer la trayectoria de un producto desde su nacimiento hasta su ubicación actual en la cadena de suministros </w:t>
      </w:r>
      <w:r w:rsidRPr="00BD64FF">
        <w:rPr>
          <w:rFonts w:ascii="Arial" w:hAnsi="Arial" w:cs="Arial"/>
          <w:sz w:val="20"/>
          <w:szCs w:val="20"/>
        </w:rPr>
        <w:br/>
      </w:r>
      <w:r w:rsidRPr="00BD64FF">
        <w:rPr>
          <w:rFonts w:ascii="Arial" w:hAnsi="Arial" w:cs="Arial"/>
          <w:sz w:val="20"/>
          <w:szCs w:val="20"/>
        </w:rPr>
        <w:br/>
        <w:t xml:space="preserve">Es posible distinguir entre dos tipos de trazabilidad cuando se busca conocer el estado de un producto que circula dentro de una cadena logística </w:t>
      </w:r>
      <w:r w:rsidRPr="00BD64FF">
        <w:rPr>
          <w:rFonts w:ascii="Arial" w:hAnsi="Arial" w:cs="Arial"/>
          <w:sz w:val="20"/>
          <w:szCs w:val="20"/>
        </w:rPr>
        <w:br/>
      </w:r>
      <w:r w:rsidRPr="00BD64FF">
        <w:rPr>
          <w:rFonts w:ascii="Arial" w:hAnsi="Arial" w:cs="Arial"/>
          <w:sz w:val="20"/>
          <w:szCs w:val="20"/>
        </w:rPr>
        <w:br/>
      </w:r>
    </w:p>
    <w:p w:rsidR="004312AB" w:rsidRPr="00BD64FF" w:rsidRDefault="004312AB" w:rsidP="004312AB">
      <w:pPr>
        <w:pStyle w:val="Sinespaciado"/>
        <w:jc w:val="both"/>
        <w:rPr>
          <w:rFonts w:ascii="Arial" w:hAnsi="Arial" w:cs="Arial"/>
          <w:sz w:val="20"/>
          <w:szCs w:val="20"/>
        </w:rPr>
      </w:pPr>
      <w:r w:rsidRPr="00BD64FF">
        <w:rPr>
          <w:rFonts w:ascii="Arial" w:hAnsi="Arial" w:cs="Arial"/>
          <w:b/>
          <w:sz w:val="20"/>
          <w:szCs w:val="20"/>
        </w:rPr>
        <w:lastRenderedPageBreak/>
        <w:t>TRAZABILIDAD INTERNA</w:t>
      </w:r>
      <w:r w:rsidRPr="00BD64FF">
        <w:rPr>
          <w:rFonts w:ascii="Arial" w:hAnsi="Arial" w:cs="Arial"/>
          <w:sz w:val="20"/>
          <w:szCs w:val="20"/>
        </w:rPr>
        <w:t xml:space="preserve"> actúa sobre los procesos internos de una empresa  y tiene en cuanta la composición del producto , su manipulación , la maquinaria utilizada y otros factores </w:t>
      </w:r>
      <w:r w:rsidRPr="00BD64FF">
        <w:rPr>
          <w:rFonts w:ascii="Arial" w:hAnsi="Arial" w:cs="Arial"/>
          <w:sz w:val="20"/>
          <w:szCs w:val="20"/>
        </w:rPr>
        <w:br/>
      </w:r>
      <w:r w:rsidRPr="00BD64FF">
        <w:rPr>
          <w:rFonts w:ascii="Arial" w:hAnsi="Arial" w:cs="Arial"/>
          <w:sz w:val="20"/>
          <w:szCs w:val="20"/>
        </w:rPr>
        <w:br/>
      </w:r>
      <w:r w:rsidRPr="00BD64FF">
        <w:rPr>
          <w:rFonts w:ascii="Arial" w:hAnsi="Arial" w:cs="Arial"/>
          <w:b/>
          <w:sz w:val="20"/>
          <w:szCs w:val="20"/>
        </w:rPr>
        <w:t>TRANZABILIDAD EXTERNA</w:t>
      </w:r>
      <w:r w:rsidRPr="00BD64FF">
        <w:rPr>
          <w:rFonts w:ascii="Arial" w:hAnsi="Arial" w:cs="Arial"/>
          <w:sz w:val="20"/>
          <w:szCs w:val="20"/>
        </w:rPr>
        <w:t xml:space="preserve"> por su parte añade otros elementos o indicios para externalizar los datos de la taza interna </w:t>
      </w:r>
      <w:r w:rsidRPr="00BD64FF">
        <w:rPr>
          <w:rFonts w:ascii="Arial" w:hAnsi="Arial" w:cs="Arial"/>
          <w:sz w:val="20"/>
          <w:szCs w:val="20"/>
        </w:rPr>
        <w:br/>
      </w:r>
      <w:r w:rsidRPr="00BD64FF">
        <w:rPr>
          <w:rFonts w:ascii="Arial" w:hAnsi="Arial" w:cs="Arial"/>
          <w:sz w:val="20"/>
          <w:szCs w:val="20"/>
        </w:rPr>
        <w:br/>
        <w:t xml:space="preserve">La trazabilidad , en definitiva se basa en el registro de los indicios que deja un producto mientras transita por la cadena antes de llegar al consumidor final ,Actualmente se trabaja para el desarrollo de un formato  estándar  que permita compartir y transmitir la trazabilidad de manera sencilla </w:t>
      </w:r>
      <w:r w:rsidRPr="00BD64FF">
        <w:rPr>
          <w:rFonts w:ascii="Arial" w:hAnsi="Arial" w:cs="Arial"/>
          <w:sz w:val="20"/>
          <w:szCs w:val="20"/>
        </w:rPr>
        <w:br/>
      </w:r>
      <w:r w:rsidRPr="00BD64FF">
        <w:rPr>
          <w:rFonts w:ascii="Arial" w:hAnsi="Arial" w:cs="Arial"/>
          <w:sz w:val="20"/>
          <w:szCs w:val="20"/>
        </w:rPr>
        <w:br/>
        <w:t>La intensión es conseguir la capacidad de reconstruir la historia y el recorrido de cada producto , identificando el origen de sus componentes, las características de los procesos aplicados y la distribución y localización final del producto . Esto permite aumentar la calidad del mismo y el valor para el cliente final  </w:t>
      </w:r>
    </w:p>
    <w:p w:rsidR="004312AB" w:rsidRPr="00BD64FF" w:rsidRDefault="004312AB" w:rsidP="004312AB">
      <w:pPr>
        <w:pStyle w:val="Sinespaciado"/>
        <w:jc w:val="both"/>
        <w:rPr>
          <w:rFonts w:ascii="Arial" w:hAnsi="Arial" w:cs="Arial"/>
          <w:sz w:val="20"/>
          <w:szCs w:val="20"/>
        </w:rPr>
      </w:pPr>
    </w:p>
    <w:p w:rsidR="004312AB" w:rsidRPr="00BD64FF" w:rsidRDefault="004312AB" w:rsidP="006E643F">
      <w:pPr>
        <w:pStyle w:val="Sinespaciado"/>
        <w:numPr>
          <w:ilvl w:val="0"/>
          <w:numId w:val="31"/>
        </w:numPr>
        <w:jc w:val="both"/>
        <w:rPr>
          <w:rFonts w:ascii="Arial" w:hAnsi="Arial" w:cs="Arial"/>
          <w:b/>
          <w:sz w:val="20"/>
          <w:szCs w:val="20"/>
        </w:rPr>
      </w:pPr>
      <w:r w:rsidRPr="00BD64FF">
        <w:rPr>
          <w:rFonts w:ascii="Arial" w:hAnsi="Arial" w:cs="Arial"/>
          <w:b/>
          <w:sz w:val="20"/>
          <w:szCs w:val="20"/>
        </w:rPr>
        <w:t>Modelos.</w:t>
      </w:r>
    </w:p>
    <w:p w:rsidR="004312AB" w:rsidRPr="00BD64FF" w:rsidRDefault="004312AB" w:rsidP="004312AB">
      <w:pPr>
        <w:pStyle w:val="Sinespaciado"/>
        <w:jc w:val="both"/>
        <w:rPr>
          <w:rFonts w:ascii="Arial" w:hAnsi="Arial" w:cs="Arial"/>
          <w:sz w:val="20"/>
          <w:szCs w:val="20"/>
        </w:rPr>
      </w:pPr>
    </w:p>
    <w:p w:rsidR="004312AB" w:rsidRPr="00BD64FF" w:rsidRDefault="004312AB" w:rsidP="004312AB">
      <w:pPr>
        <w:pStyle w:val="Sinespaciado"/>
        <w:jc w:val="both"/>
        <w:rPr>
          <w:rFonts w:ascii="Arial" w:hAnsi="Arial" w:cs="Arial"/>
          <w:b/>
          <w:sz w:val="20"/>
          <w:szCs w:val="20"/>
        </w:rPr>
      </w:pPr>
      <w:r w:rsidRPr="00BD64FF">
        <w:rPr>
          <w:rFonts w:ascii="Arial" w:hAnsi="Arial" w:cs="Arial"/>
          <w:b/>
          <w:sz w:val="20"/>
          <w:szCs w:val="20"/>
        </w:rPr>
        <w:t>TRAZABILIDAD HACIA ATRÁS.-</w:t>
      </w:r>
    </w:p>
    <w:p w:rsidR="004312AB" w:rsidRPr="00BD64FF" w:rsidRDefault="004312AB" w:rsidP="004312AB">
      <w:pPr>
        <w:pStyle w:val="Sinespaciado"/>
        <w:jc w:val="both"/>
        <w:rPr>
          <w:rFonts w:ascii="Arial" w:hAnsi="Arial" w:cs="Arial"/>
          <w:sz w:val="20"/>
          <w:szCs w:val="20"/>
        </w:rPr>
      </w:pPr>
      <w:r w:rsidRPr="00BD64FF">
        <w:rPr>
          <w:rFonts w:ascii="Arial" w:hAnsi="Arial" w:cs="Arial"/>
          <w:sz w:val="20"/>
          <w:szCs w:val="20"/>
        </w:rPr>
        <w:t>Se refiere a la recepción de productos. En este momento los registros son la clave necesaria para que pueda seguirse el movimiento de los productos hacia su origen, esto es, desde cualquier punto a su etapa anterior.</w:t>
      </w:r>
    </w:p>
    <w:p w:rsidR="004312AB" w:rsidRPr="00BD64FF" w:rsidRDefault="004312AB" w:rsidP="004312AB">
      <w:pPr>
        <w:pStyle w:val="Sinespaciado"/>
        <w:jc w:val="both"/>
        <w:rPr>
          <w:rFonts w:ascii="Arial" w:hAnsi="Arial" w:cs="Arial"/>
          <w:sz w:val="20"/>
          <w:szCs w:val="20"/>
        </w:rPr>
      </w:pPr>
      <w:r w:rsidRPr="00BD64FF">
        <w:rPr>
          <w:rFonts w:ascii="Arial" w:hAnsi="Arial" w:cs="Arial"/>
          <w:sz w:val="20"/>
          <w:szCs w:val="20"/>
        </w:rPr>
        <w:br/>
        <w:t>La trazabilidad de la cadena puede quebrarse por completo si no se dispone de unos buenos registros cuando recién se elaboran o reciben los productos.</w:t>
      </w:r>
    </w:p>
    <w:p w:rsidR="004312AB" w:rsidRPr="00BD64FF" w:rsidRDefault="004312AB" w:rsidP="004312AB">
      <w:pPr>
        <w:pStyle w:val="Sinespaciado"/>
        <w:jc w:val="both"/>
        <w:rPr>
          <w:rFonts w:ascii="Arial" w:hAnsi="Arial" w:cs="Arial"/>
          <w:sz w:val="20"/>
          <w:szCs w:val="20"/>
        </w:rPr>
      </w:pPr>
    </w:p>
    <w:p w:rsidR="004312AB" w:rsidRPr="00BD64FF" w:rsidRDefault="004312AB" w:rsidP="004312AB">
      <w:pPr>
        <w:pStyle w:val="Sinespaciado"/>
        <w:jc w:val="both"/>
        <w:rPr>
          <w:rFonts w:ascii="Arial" w:hAnsi="Arial" w:cs="Arial"/>
          <w:sz w:val="20"/>
          <w:szCs w:val="20"/>
        </w:rPr>
      </w:pPr>
      <w:r w:rsidRPr="00BD64FF">
        <w:rPr>
          <w:rFonts w:ascii="Arial" w:hAnsi="Arial" w:cs="Arial"/>
          <w:sz w:val="20"/>
          <w:szCs w:val="20"/>
        </w:rPr>
        <w:t> </w:t>
      </w:r>
    </w:p>
    <w:p w:rsidR="004312AB" w:rsidRPr="00BD64FF" w:rsidRDefault="004312AB" w:rsidP="004312AB">
      <w:pPr>
        <w:pStyle w:val="Sinespaciado"/>
        <w:jc w:val="both"/>
        <w:rPr>
          <w:rFonts w:ascii="Arial" w:hAnsi="Arial" w:cs="Arial"/>
          <w:b/>
          <w:sz w:val="20"/>
          <w:szCs w:val="20"/>
        </w:rPr>
      </w:pPr>
      <w:r w:rsidRPr="00BD64FF">
        <w:rPr>
          <w:rFonts w:ascii="Arial" w:hAnsi="Arial" w:cs="Arial"/>
          <w:b/>
          <w:sz w:val="20"/>
          <w:szCs w:val="20"/>
        </w:rPr>
        <w:t xml:space="preserve">TRAZABILIDAD DE PROCESO (INTERNA) </w:t>
      </w:r>
    </w:p>
    <w:p w:rsidR="004312AB" w:rsidRPr="00BD64FF" w:rsidRDefault="004312AB" w:rsidP="004312AB">
      <w:pPr>
        <w:pStyle w:val="Sinespaciado"/>
        <w:jc w:val="both"/>
        <w:rPr>
          <w:rFonts w:ascii="Arial" w:hAnsi="Arial" w:cs="Arial"/>
          <w:sz w:val="20"/>
          <w:szCs w:val="20"/>
        </w:rPr>
      </w:pPr>
      <w:r w:rsidRPr="00BD64FF">
        <w:rPr>
          <w:rFonts w:ascii="Arial" w:hAnsi="Arial" w:cs="Arial"/>
          <w:sz w:val="20"/>
          <w:szCs w:val="20"/>
        </w:rPr>
        <w:t xml:space="preserve">Se trata de relacionar los productos que se han recibido en la empresa, las operaciones o procesos que éstos han seguido (equipos, líneas, cámaras, mezclado, división etc.) dentro de la misma y los productos finales que salen de ella. </w:t>
      </w:r>
    </w:p>
    <w:p w:rsidR="004312AB" w:rsidRPr="00BD64FF" w:rsidRDefault="004312AB" w:rsidP="004312AB">
      <w:pPr>
        <w:pStyle w:val="Sinespaciado"/>
        <w:jc w:val="both"/>
        <w:rPr>
          <w:rFonts w:ascii="Arial" w:hAnsi="Arial" w:cs="Arial"/>
          <w:sz w:val="20"/>
          <w:szCs w:val="20"/>
        </w:rPr>
      </w:pPr>
    </w:p>
    <w:p w:rsidR="004312AB" w:rsidRDefault="004312AB" w:rsidP="004312AB">
      <w:pPr>
        <w:pStyle w:val="Sinespaciado"/>
        <w:jc w:val="both"/>
        <w:rPr>
          <w:rFonts w:ascii="Arial" w:hAnsi="Arial" w:cs="Arial"/>
          <w:b/>
          <w:sz w:val="20"/>
          <w:szCs w:val="20"/>
        </w:rPr>
      </w:pPr>
    </w:p>
    <w:p w:rsidR="004312AB" w:rsidRPr="00BD64FF" w:rsidRDefault="004312AB" w:rsidP="004312AB">
      <w:pPr>
        <w:pStyle w:val="Sinespaciado"/>
        <w:jc w:val="both"/>
        <w:rPr>
          <w:rFonts w:ascii="Arial" w:hAnsi="Arial" w:cs="Arial"/>
          <w:b/>
          <w:sz w:val="20"/>
          <w:szCs w:val="20"/>
        </w:rPr>
      </w:pPr>
      <w:r w:rsidRPr="00BD64FF">
        <w:rPr>
          <w:rFonts w:ascii="Arial" w:hAnsi="Arial" w:cs="Arial"/>
          <w:b/>
          <w:sz w:val="20"/>
          <w:szCs w:val="20"/>
        </w:rPr>
        <w:t xml:space="preserve">TRAZABILIDAD HACIA DELANTE </w:t>
      </w:r>
    </w:p>
    <w:p w:rsidR="004312AB" w:rsidRPr="00BD64FF" w:rsidRDefault="004312AB" w:rsidP="004312AB">
      <w:pPr>
        <w:pStyle w:val="Sinespaciado"/>
        <w:jc w:val="both"/>
        <w:rPr>
          <w:rFonts w:ascii="Arial" w:hAnsi="Arial" w:cs="Arial"/>
          <w:b/>
          <w:sz w:val="20"/>
          <w:szCs w:val="20"/>
        </w:rPr>
      </w:pPr>
    </w:p>
    <w:p w:rsidR="004312AB" w:rsidRPr="00BD64FF" w:rsidRDefault="004312AB" w:rsidP="004312AB">
      <w:pPr>
        <w:pStyle w:val="Sinespaciado"/>
        <w:jc w:val="both"/>
        <w:rPr>
          <w:rFonts w:ascii="Arial" w:hAnsi="Arial" w:cs="Arial"/>
          <w:sz w:val="20"/>
          <w:szCs w:val="20"/>
        </w:rPr>
      </w:pPr>
      <w:r w:rsidRPr="00BD64FF">
        <w:rPr>
          <w:rFonts w:ascii="Arial" w:hAnsi="Arial" w:cs="Arial"/>
          <w:sz w:val="20"/>
          <w:szCs w:val="20"/>
        </w:rPr>
        <w:t xml:space="preserve">Es la trazabilidad de los productos preparados para la expedición y del cliente inmediato al que se le entregan. Qué y a quién se entregan los productos. A partir de este punto los productos quedan fuera del control de la empresa. </w:t>
      </w:r>
    </w:p>
    <w:p w:rsidR="004312AB" w:rsidRPr="00BD64FF" w:rsidRDefault="004312AB" w:rsidP="004312AB">
      <w:pPr>
        <w:pStyle w:val="Sinespaciado"/>
        <w:jc w:val="both"/>
        <w:rPr>
          <w:rFonts w:ascii="Arial" w:hAnsi="Arial" w:cs="Arial"/>
          <w:sz w:val="20"/>
          <w:szCs w:val="20"/>
        </w:rPr>
      </w:pPr>
    </w:p>
    <w:p w:rsidR="004312AB" w:rsidRDefault="004312AB" w:rsidP="004312AB">
      <w:pPr>
        <w:pStyle w:val="Sinespaciado"/>
        <w:rPr>
          <w:rFonts w:ascii="Arial" w:hAnsi="Arial" w:cs="Arial"/>
          <w:sz w:val="20"/>
          <w:szCs w:val="20"/>
        </w:rPr>
      </w:pPr>
      <w:r w:rsidRPr="00BD64FF">
        <w:rPr>
          <w:rFonts w:ascii="Arial" w:hAnsi="Arial" w:cs="Arial"/>
          <w:sz w:val="20"/>
          <w:szCs w:val="20"/>
        </w:rPr>
        <w:t> </w:t>
      </w:r>
    </w:p>
    <w:p w:rsidR="004312AB" w:rsidRPr="004312AB" w:rsidRDefault="004312AB" w:rsidP="006E643F">
      <w:pPr>
        <w:pStyle w:val="Sinespaciado"/>
        <w:numPr>
          <w:ilvl w:val="0"/>
          <w:numId w:val="32"/>
        </w:numPr>
        <w:jc w:val="both"/>
        <w:rPr>
          <w:rFonts w:ascii="Arial" w:hAnsi="Arial" w:cs="Arial"/>
          <w:b/>
          <w:sz w:val="20"/>
          <w:szCs w:val="20"/>
        </w:rPr>
      </w:pPr>
      <w:r w:rsidRPr="004312AB">
        <w:rPr>
          <w:rFonts w:ascii="Arial" w:hAnsi="Arial" w:cs="Arial"/>
          <w:b/>
          <w:sz w:val="20"/>
          <w:szCs w:val="20"/>
        </w:rPr>
        <w:t>Herramientas.</w:t>
      </w:r>
    </w:p>
    <w:p w:rsidR="004312AB" w:rsidRPr="004312AB" w:rsidRDefault="004312AB" w:rsidP="004312AB">
      <w:pPr>
        <w:pStyle w:val="Sinespaciado"/>
        <w:ind w:left="720"/>
        <w:jc w:val="both"/>
        <w:rPr>
          <w:rFonts w:ascii="Arial" w:hAnsi="Arial" w:cs="Arial"/>
          <w:b/>
          <w:sz w:val="20"/>
          <w:szCs w:val="20"/>
        </w:rPr>
      </w:pPr>
    </w:p>
    <w:p w:rsidR="004312AB" w:rsidRPr="004312AB" w:rsidRDefault="004312AB" w:rsidP="004312AB">
      <w:pPr>
        <w:pStyle w:val="Sinespaciado"/>
        <w:rPr>
          <w:rFonts w:ascii="Arial" w:hAnsi="Arial" w:cs="Arial"/>
          <w:sz w:val="20"/>
          <w:szCs w:val="20"/>
        </w:rPr>
      </w:pPr>
      <w:r w:rsidRPr="004312AB">
        <w:rPr>
          <w:rFonts w:ascii="Arial" w:hAnsi="Arial" w:cs="Arial"/>
          <w:sz w:val="20"/>
          <w:szCs w:val="20"/>
        </w:rPr>
        <w:t xml:space="preserve">Unas de Las herramientas más utilizadas para hacer el seguimiento de los productos en la cadena de </w:t>
      </w:r>
      <w:hyperlink r:id="rId44" w:history="1">
        <w:r w:rsidRPr="004312AB">
          <w:rPr>
            <w:rStyle w:val="Hipervnculo"/>
            <w:rFonts w:ascii="Arial" w:hAnsi="Arial" w:cs="Arial"/>
            <w:color w:val="auto"/>
            <w:sz w:val="20"/>
            <w:szCs w:val="20"/>
            <w:u w:val="none"/>
          </w:rPr>
          <w:t>distribución</w:t>
        </w:r>
      </w:hyperlink>
      <w:r w:rsidRPr="004312AB">
        <w:rPr>
          <w:rFonts w:ascii="Arial" w:hAnsi="Arial" w:cs="Arial"/>
          <w:sz w:val="20"/>
          <w:szCs w:val="20"/>
        </w:rPr>
        <w:t xml:space="preserve"> son:</w:t>
      </w:r>
    </w:p>
    <w:p w:rsidR="004312AB" w:rsidRPr="004312AB" w:rsidRDefault="004312AB" w:rsidP="004312AB">
      <w:pPr>
        <w:pStyle w:val="Sinespaciado"/>
        <w:rPr>
          <w:rFonts w:ascii="Arial" w:hAnsi="Arial" w:cs="Arial"/>
          <w:sz w:val="20"/>
          <w:szCs w:val="20"/>
        </w:rPr>
      </w:pPr>
    </w:p>
    <w:p w:rsidR="004312AB" w:rsidRPr="004312AB" w:rsidRDefault="004312AB" w:rsidP="006E643F">
      <w:pPr>
        <w:pStyle w:val="Sinespaciado"/>
        <w:numPr>
          <w:ilvl w:val="0"/>
          <w:numId w:val="32"/>
        </w:numPr>
        <w:rPr>
          <w:rFonts w:ascii="Arial" w:hAnsi="Arial" w:cs="Arial"/>
          <w:sz w:val="20"/>
          <w:szCs w:val="20"/>
        </w:rPr>
      </w:pPr>
      <w:r w:rsidRPr="004312AB">
        <w:rPr>
          <w:rFonts w:ascii="Arial" w:hAnsi="Arial" w:cs="Arial"/>
          <w:sz w:val="20"/>
          <w:szCs w:val="20"/>
        </w:rPr>
        <w:t>Codificación/Simbolización (Código EPC, GS1 128)</w:t>
      </w:r>
    </w:p>
    <w:p w:rsidR="004312AB" w:rsidRPr="004312AB" w:rsidRDefault="004312AB" w:rsidP="006E643F">
      <w:pPr>
        <w:pStyle w:val="Sinespaciado"/>
        <w:numPr>
          <w:ilvl w:val="0"/>
          <w:numId w:val="32"/>
        </w:numPr>
        <w:rPr>
          <w:rFonts w:ascii="Arial" w:hAnsi="Arial" w:cs="Arial"/>
          <w:sz w:val="20"/>
          <w:szCs w:val="20"/>
        </w:rPr>
      </w:pPr>
      <w:r w:rsidRPr="004312AB">
        <w:rPr>
          <w:rFonts w:ascii="Arial" w:hAnsi="Arial" w:cs="Arial"/>
          <w:sz w:val="20"/>
          <w:szCs w:val="20"/>
        </w:rPr>
        <w:t xml:space="preserve">Lectura </w:t>
      </w:r>
      <w:hyperlink r:id="rId45" w:history="1">
        <w:r w:rsidRPr="004312AB">
          <w:rPr>
            <w:rStyle w:val="Hipervnculo"/>
            <w:rFonts w:ascii="Arial" w:hAnsi="Arial" w:cs="Arial"/>
            <w:color w:val="auto"/>
            <w:sz w:val="20"/>
            <w:szCs w:val="20"/>
            <w:u w:val="none"/>
          </w:rPr>
          <w:t>óptica</w:t>
        </w:r>
      </w:hyperlink>
      <w:r w:rsidRPr="004312AB">
        <w:rPr>
          <w:rFonts w:ascii="Arial" w:hAnsi="Arial" w:cs="Arial"/>
          <w:sz w:val="20"/>
          <w:szCs w:val="20"/>
        </w:rPr>
        <w:t xml:space="preserve"> (Lectores ópticos para códigos de barras)</w:t>
      </w:r>
    </w:p>
    <w:p w:rsidR="004312AB" w:rsidRPr="004312AB" w:rsidRDefault="004312AB" w:rsidP="006E643F">
      <w:pPr>
        <w:pStyle w:val="Sinespaciado"/>
        <w:numPr>
          <w:ilvl w:val="0"/>
          <w:numId w:val="32"/>
        </w:numPr>
        <w:rPr>
          <w:rFonts w:ascii="Arial" w:hAnsi="Arial" w:cs="Arial"/>
          <w:sz w:val="20"/>
          <w:szCs w:val="20"/>
        </w:rPr>
      </w:pPr>
      <w:r w:rsidRPr="004312AB">
        <w:rPr>
          <w:rFonts w:ascii="Arial" w:hAnsi="Arial" w:cs="Arial"/>
          <w:sz w:val="20"/>
          <w:szCs w:val="20"/>
        </w:rPr>
        <w:t>Sistemas de información (</w:t>
      </w:r>
      <w:hyperlink r:id="rId46" w:history="1">
        <w:r w:rsidRPr="004312AB">
          <w:rPr>
            <w:rStyle w:val="Hipervnculo"/>
            <w:rFonts w:ascii="Arial" w:hAnsi="Arial" w:cs="Arial"/>
            <w:color w:val="auto"/>
            <w:sz w:val="20"/>
            <w:szCs w:val="20"/>
            <w:u w:val="none"/>
          </w:rPr>
          <w:t>software</w:t>
        </w:r>
      </w:hyperlink>
      <w:r w:rsidRPr="004312AB">
        <w:rPr>
          <w:rFonts w:ascii="Arial" w:hAnsi="Arial" w:cs="Arial"/>
          <w:sz w:val="20"/>
          <w:szCs w:val="20"/>
        </w:rPr>
        <w:t>)</w:t>
      </w:r>
    </w:p>
    <w:p w:rsidR="004312AB" w:rsidRPr="004312AB" w:rsidRDefault="004312AB" w:rsidP="006E643F">
      <w:pPr>
        <w:pStyle w:val="Sinespaciado"/>
        <w:numPr>
          <w:ilvl w:val="0"/>
          <w:numId w:val="32"/>
        </w:numPr>
        <w:rPr>
          <w:rFonts w:ascii="Arial" w:hAnsi="Arial" w:cs="Arial"/>
          <w:sz w:val="20"/>
          <w:szCs w:val="20"/>
        </w:rPr>
      </w:pPr>
      <w:r w:rsidRPr="004312AB">
        <w:rPr>
          <w:rFonts w:ascii="Arial" w:hAnsi="Arial" w:cs="Arial"/>
          <w:sz w:val="20"/>
          <w:szCs w:val="20"/>
        </w:rPr>
        <w:t xml:space="preserve">Procedimientos </w:t>
      </w:r>
      <w:hyperlink r:id="rId47" w:history="1">
        <w:r w:rsidRPr="004312AB">
          <w:rPr>
            <w:rStyle w:val="Hipervnculo"/>
            <w:rFonts w:ascii="Arial" w:hAnsi="Arial" w:cs="Arial"/>
            <w:color w:val="auto"/>
            <w:sz w:val="20"/>
            <w:szCs w:val="20"/>
            <w:u w:val="none"/>
          </w:rPr>
          <w:t>manuales</w:t>
        </w:r>
      </w:hyperlink>
      <w:r w:rsidRPr="004312AB">
        <w:rPr>
          <w:rFonts w:ascii="Arial" w:hAnsi="Arial" w:cs="Arial"/>
          <w:sz w:val="20"/>
          <w:szCs w:val="20"/>
        </w:rPr>
        <w:t xml:space="preserve"> (formatos, </w:t>
      </w:r>
      <w:hyperlink r:id="rId48" w:history="1">
        <w:r w:rsidRPr="004312AB">
          <w:rPr>
            <w:rStyle w:val="Hipervnculo"/>
            <w:rFonts w:ascii="Arial" w:hAnsi="Arial" w:cs="Arial"/>
            <w:color w:val="auto"/>
            <w:sz w:val="20"/>
            <w:szCs w:val="20"/>
            <w:u w:val="none"/>
          </w:rPr>
          <w:t>registros</w:t>
        </w:r>
      </w:hyperlink>
      <w:r w:rsidRPr="004312AB">
        <w:rPr>
          <w:rFonts w:ascii="Arial" w:hAnsi="Arial" w:cs="Arial"/>
          <w:sz w:val="20"/>
          <w:szCs w:val="20"/>
        </w:rPr>
        <w:t xml:space="preserve">, instructivos, </w:t>
      </w:r>
      <w:hyperlink r:id="rId49" w:history="1">
        <w:r w:rsidRPr="004312AB">
          <w:rPr>
            <w:rStyle w:val="Hipervnculo"/>
            <w:rFonts w:ascii="Arial" w:hAnsi="Arial" w:cs="Arial"/>
            <w:color w:val="auto"/>
            <w:sz w:val="20"/>
            <w:szCs w:val="20"/>
            <w:u w:val="none"/>
          </w:rPr>
          <w:t>procedimientos</w:t>
        </w:r>
      </w:hyperlink>
      <w:r w:rsidRPr="004312AB">
        <w:rPr>
          <w:rFonts w:ascii="Arial" w:hAnsi="Arial" w:cs="Arial"/>
          <w:sz w:val="20"/>
          <w:szCs w:val="20"/>
        </w:rPr>
        <w:t>)</w:t>
      </w:r>
    </w:p>
    <w:p w:rsidR="004312AB" w:rsidRPr="004312AB" w:rsidRDefault="004312AB" w:rsidP="004312AB">
      <w:pPr>
        <w:pStyle w:val="Prrafodelista"/>
        <w:spacing w:after="100" w:line="240" w:lineRule="auto"/>
        <w:rPr>
          <w:rFonts w:ascii="Times New Roman" w:eastAsia="Times New Roman" w:hAnsi="Times New Roman"/>
          <w:sz w:val="24"/>
          <w:szCs w:val="24"/>
          <w:lang w:eastAsia="es-CO"/>
        </w:rPr>
      </w:pPr>
    </w:p>
    <w:p w:rsidR="004312AB" w:rsidRDefault="004312AB" w:rsidP="004312AB">
      <w:pPr>
        <w:rPr>
          <w:rFonts w:ascii="Arial" w:hAnsi="Arial" w:cs="Arial"/>
        </w:rPr>
      </w:pPr>
    </w:p>
    <w:p w:rsidR="004312AB" w:rsidRPr="00DA6D7A" w:rsidRDefault="004312AB" w:rsidP="006E643F">
      <w:pPr>
        <w:jc w:val="center"/>
        <w:rPr>
          <w:rFonts w:ascii="Arial" w:hAnsi="Arial" w:cs="Arial"/>
          <w:sz w:val="20"/>
          <w:szCs w:val="20"/>
        </w:rPr>
      </w:pPr>
      <w:r w:rsidRPr="00DA6D7A">
        <w:rPr>
          <w:rFonts w:ascii="Arial" w:hAnsi="Arial" w:cs="Arial"/>
          <w:noProof/>
          <w:sz w:val="20"/>
          <w:szCs w:val="20"/>
          <w:lang w:eastAsia="es-CO"/>
        </w:rPr>
        <w:lastRenderedPageBreak/>
        <w:drawing>
          <wp:inline distT="0" distB="0" distL="0" distR="0">
            <wp:extent cx="3796665" cy="3208655"/>
            <wp:effectExtent l="19050" t="0" r="0" b="0"/>
            <wp:docPr id="62" name="il_fi" descr="http://www.isc-calidad.com.ar/adm/img/Trazabilida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sc-calidad.com.ar/adm/img/Trazabilidad2.jpg"/>
                    <pic:cNvPicPr>
                      <a:picLocks noChangeAspect="1" noChangeArrowheads="1"/>
                    </pic:cNvPicPr>
                  </pic:nvPicPr>
                  <pic:blipFill>
                    <a:blip r:embed="rId50"/>
                    <a:srcRect/>
                    <a:stretch>
                      <a:fillRect/>
                    </a:stretch>
                  </pic:blipFill>
                  <pic:spPr bwMode="auto">
                    <a:xfrm>
                      <a:off x="0" y="0"/>
                      <a:ext cx="3796665" cy="3208655"/>
                    </a:xfrm>
                    <a:prstGeom prst="rect">
                      <a:avLst/>
                    </a:prstGeom>
                    <a:noFill/>
                    <a:ln w="9525">
                      <a:noFill/>
                      <a:miter lim="800000"/>
                      <a:headEnd/>
                      <a:tailEnd/>
                    </a:ln>
                  </pic:spPr>
                </pic:pic>
              </a:graphicData>
            </a:graphic>
          </wp:inline>
        </w:drawing>
      </w:r>
    </w:p>
    <w:p w:rsidR="00DA6D7A" w:rsidRPr="00DA6D7A" w:rsidRDefault="00DA6D7A" w:rsidP="00DA6D7A">
      <w:pPr>
        <w:rPr>
          <w:rFonts w:ascii="Arial" w:hAnsi="Arial" w:cs="Arial"/>
          <w:b/>
          <w:i/>
          <w:sz w:val="20"/>
          <w:szCs w:val="20"/>
          <w:lang w:val="es-AR"/>
        </w:rPr>
      </w:pPr>
      <w:r w:rsidRPr="00DA6D7A">
        <w:rPr>
          <w:rFonts w:ascii="Arial" w:hAnsi="Arial" w:cs="Arial"/>
          <w:b/>
          <w:i/>
          <w:sz w:val="20"/>
          <w:szCs w:val="20"/>
          <w:lang w:val="es-AR"/>
        </w:rPr>
        <w:t>l) RED DE DISTRIBUCION</w:t>
      </w:r>
    </w:p>
    <w:p w:rsidR="00DA6D7A" w:rsidRPr="00DA6D7A" w:rsidRDefault="00DA6D7A" w:rsidP="00DA6D7A">
      <w:pPr>
        <w:autoSpaceDE w:val="0"/>
        <w:autoSpaceDN w:val="0"/>
        <w:adjustRightInd w:val="0"/>
        <w:spacing w:after="0" w:line="240" w:lineRule="auto"/>
        <w:jc w:val="both"/>
        <w:rPr>
          <w:rFonts w:ascii="Arial" w:hAnsi="Arial" w:cs="Arial"/>
          <w:sz w:val="20"/>
          <w:szCs w:val="20"/>
          <w:lang w:val="es-AR"/>
        </w:rPr>
      </w:pPr>
      <w:r w:rsidRPr="00DA6D7A">
        <w:rPr>
          <w:rFonts w:ascii="Arial" w:hAnsi="Arial" w:cs="Arial"/>
          <w:sz w:val="20"/>
          <w:szCs w:val="20"/>
          <w:lang w:val="es-AR"/>
        </w:rPr>
        <w:t>Las redes de transporte de mercancías surgen por la necesidad de conectar y transportar los bienes de consumo desde su punto de producción (localización empresa) hasta el mercado (clientes). En la fase de distribución, la mercancía puede ser transportada con una gran variedad de modos de transporte (por ferrocarril, transporte aéreo, marítimo, fluvial o por carretera) y puede realizar varias paradas en almacenes o nodos de cambio modal hasta llegar a su destino final.</w:t>
      </w:r>
    </w:p>
    <w:p w:rsidR="00DA6D7A" w:rsidRPr="00DA6D7A" w:rsidRDefault="00DA6D7A" w:rsidP="00DA6D7A">
      <w:pPr>
        <w:autoSpaceDE w:val="0"/>
        <w:autoSpaceDN w:val="0"/>
        <w:adjustRightInd w:val="0"/>
        <w:spacing w:after="0" w:line="240" w:lineRule="auto"/>
        <w:jc w:val="both"/>
        <w:rPr>
          <w:rFonts w:ascii="Arial" w:hAnsi="Arial" w:cs="Arial"/>
          <w:sz w:val="20"/>
          <w:szCs w:val="20"/>
          <w:lang w:val="es-AR"/>
        </w:rPr>
      </w:pPr>
      <w:r w:rsidRPr="00DA6D7A">
        <w:rPr>
          <w:rFonts w:ascii="Arial" w:hAnsi="Arial" w:cs="Arial"/>
          <w:sz w:val="20"/>
          <w:szCs w:val="20"/>
          <w:lang w:val="es-AR"/>
        </w:rPr>
        <w:t>La configuración de la red de transporte condiciona los costes de distribución de la mercancía así como la planificación y organización temporal de la cadena de suministro de los productos al mercado.</w:t>
      </w:r>
    </w:p>
    <w:p w:rsidR="006E643F" w:rsidRDefault="006E643F"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FC635E" w:rsidRDefault="00FC635E" w:rsidP="006E643F">
      <w:pPr>
        <w:jc w:val="center"/>
        <w:rPr>
          <w:rFonts w:ascii="Arial" w:hAnsi="Arial" w:cs="Arial"/>
        </w:rPr>
      </w:pPr>
    </w:p>
    <w:p w:rsidR="00DA6D7A" w:rsidRDefault="00DA6D7A" w:rsidP="006E643F">
      <w:pPr>
        <w:rPr>
          <w:rFonts w:ascii="Arial" w:hAnsi="Arial" w:cs="Arial"/>
          <w:b/>
        </w:rPr>
      </w:pPr>
      <w:r w:rsidRPr="00DA6D7A">
        <w:rPr>
          <w:rFonts w:ascii="Arial" w:hAnsi="Arial" w:cs="Arial"/>
          <w:b/>
        </w:rPr>
        <w:t>2. Propuesta.</w:t>
      </w:r>
    </w:p>
    <w:p w:rsidR="00DA6D7A" w:rsidRDefault="00DA6D7A" w:rsidP="00DA6D7A">
      <w:pPr>
        <w:jc w:val="both"/>
        <w:rPr>
          <w:rFonts w:ascii="Arial" w:hAnsi="Arial" w:cs="Arial"/>
        </w:rPr>
      </w:pPr>
      <w:r>
        <w:rPr>
          <w:rFonts w:ascii="Arial" w:hAnsi="Arial" w:cs="Arial"/>
        </w:rPr>
        <w:t xml:space="preserve"> Point Fruit productora y comercializadora de pulpa de frutas exóticas pretende que por medio de un análisis a diferentes variables involucradas en tema optimizar de la trazabilidad optimizar los procesos convirtiendo estos esfuerzos en una ventaja competitiva que permita optimizar cada actividad realizada en la empresa.</w:t>
      </w:r>
    </w:p>
    <w:p w:rsidR="00DA6D7A" w:rsidRDefault="00DA6D7A" w:rsidP="00DA6D7A">
      <w:pPr>
        <w:jc w:val="both"/>
        <w:rPr>
          <w:rFonts w:ascii="Arial" w:hAnsi="Arial" w:cs="Arial"/>
        </w:rPr>
      </w:pPr>
      <w:r>
        <w:rPr>
          <w:rFonts w:ascii="Arial" w:hAnsi="Arial" w:cs="Arial"/>
        </w:rPr>
        <w:t>Por ello en sus inicios de las investigaciones a encontrado que hay diversos métodos que tienen aplicación inmediata y que en el mas corto plazo comenzara a preparar todos los recursos para su aplicación y definición</w:t>
      </w:r>
      <w:r w:rsidR="00FC635E">
        <w:rPr>
          <w:rFonts w:ascii="Arial" w:hAnsi="Arial" w:cs="Arial"/>
        </w:rPr>
        <w:t>; pero otros que necesitan que la empresa crezca de una manera considerable no solo de tamaño si no de posicionamiento o de marca y de capital.</w:t>
      </w:r>
    </w:p>
    <w:p w:rsidR="00FC635E" w:rsidRPr="00DA6D7A" w:rsidRDefault="00FC635E" w:rsidP="00DA6D7A">
      <w:pPr>
        <w:jc w:val="both"/>
        <w:rPr>
          <w:rFonts w:ascii="Arial" w:hAnsi="Arial" w:cs="Arial"/>
        </w:rPr>
      </w:pPr>
      <w:r>
        <w:rPr>
          <w:rFonts w:ascii="Arial" w:hAnsi="Arial" w:cs="Arial"/>
        </w:rPr>
        <w:t>La empresa espera poder aplicar cada proceso, método y herramienta mencionada anterior para así poder generar valores agregados a sus clientes, creando así un sentimiento de fidealización que le permita la expansión en mercado de una forma consecutiva y consecuente con el esfuerzo y empeño dado en la investigación y aplicación de los mismos permitiendo así crear una ventaja competitiva y una solidez empresarial.</w:t>
      </w:r>
    </w:p>
    <w:sectPr w:rsidR="00FC635E" w:rsidRPr="00DA6D7A" w:rsidSect="0003672D">
      <w:pgSz w:w="12240" w:h="15840"/>
      <w:pgMar w:top="1417" w:right="1701" w:bottom="1417"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F0FDA"/>
    <w:multiLevelType w:val="multilevel"/>
    <w:tmpl w:val="430C72C2"/>
    <w:lvl w:ilvl="0">
      <w:start w:val="1"/>
      <w:numFmt w:val="bullet"/>
      <w:lvlText w:val=""/>
      <w:lvlJc w:val="left"/>
      <w:pPr>
        <w:tabs>
          <w:tab w:val="num" w:pos="720"/>
        </w:tabs>
        <w:ind w:left="720" w:hanging="360"/>
      </w:pPr>
      <w:rPr>
        <w:rFonts w:ascii="Symbol" w:hAnsi="Symbol" w:hint="default"/>
        <w:sz w:val="20"/>
      </w:rPr>
    </w:lvl>
    <w:lvl w:ilvl="1">
      <w:start w:val="6"/>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DC1B00"/>
    <w:multiLevelType w:val="multilevel"/>
    <w:tmpl w:val="1914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425424"/>
    <w:multiLevelType w:val="multilevel"/>
    <w:tmpl w:val="74B0F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AE22EA"/>
    <w:multiLevelType w:val="multilevel"/>
    <w:tmpl w:val="5830B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C355ED"/>
    <w:multiLevelType w:val="multilevel"/>
    <w:tmpl w:val="5B3E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D07E68"/>
    <w:multiLevelType w:val="hybridMultilevel"/>
    <w:tmpl w:val="30AC99E8"/>
    <w:lvl w:ilvl="0" w:tplc="D904305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3EEC1B3D"/>
    <w:multiLevelType w:val="hybridMultilevel"/>
    <w:tmpl w:val="3DA43D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F031D64"/>
    <w:multiLevelType w:val="multilevel"/>
    <w:tmpl w:val="6098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EC1AE7"/>
    <w:multiLevelType w:val="multilevel"/>
    <w:tmpl w:val="05E0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D03F49"/>
    <w:multiLevelType w:val="multilevel"/>
    <w:tmpl w:val="0712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077A4D"/>
    <w:multiLevelType w:val="multilevel"/>
    <w:tmpl w:val="6F9C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210372"/>
    <w:multiLevelType w:val="multilevel"/>
    <w:tmpl w:val="C9900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777643"/>
    <w:multiLevelType w:val="hybridMultilevel"/>
    <w:tmpl w:val="FF88C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EF60B59"/>
    <w:multiLevelType w:val="multilevel"/>
    <w:tmpl w:val="11704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0139EA"/>
    <w:multiLevelType w:val="hybridMultilevel"/>
    <w:tmpl w:val="81A299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B4A029B"/>
    <w:multiLevelType w:val="hybridMultilevel"/>
    <w:tmpl w:val="7D86EB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68042C03"/>
    <w:multiLevelType w:val="multilevel"/>
    <w:tmpl w:val="5144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E13A33"/>
    <w:multiLevelType w:val="multilevel"/>
    <w:tmpl w:val="05E0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A6EA5"/>
    <w:multiLevelType w:val="multilevel"/>
    <w:tmpl w:val="DA769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7"/>
  </w:num>
  <w:num w:numId="5">
    <w:abstractNumId w:val="16"/>
  </w:num>
  <w:num w:numId="6">
    <w:abstractNumId w:val="4"/>
  </w:num>
  <w:num w:numId="7">
    <w:abstractNumId w:val="14"/>
  </w:num>
  <w:num w:numId="8">
    <w:abstractNumId w:val="0"/>
    <w:lvlOverride w:ilvl="0">
      <w:startOverride w:val="1"/>
    </w:lvlOverride>
  </w:num>
  <w:num w:numId="9">
    <w:abstractNumId w:val="15"/>
  </w:num>
  <w:num w:numId="10">
    <w:abstractNumId w:val="18"/>
    <w:lvlOverride w:ilvl="0">
      <w:startOverride w:val="1"/>
    </w:lvlOverride>
  </w:num>
  <w:num w:numId="11">
    <w:abstractNumId w:val="18"/>
    <w:lvlOverride w:ilvl="0">
      <w:startOverride w:val="2"/>
    </w:lvlOverride>
  </w:num>
  <w:num w:numId="12">
    <w:abstractNumId w:val="11"/>
    <w:lvlOverride w:ilvl="0">
      <w:startOverride w:val="1"/>
    </w:lvlOverride>
  </w:num>
  <w:num w:numId="13">
    <w:abstractNumId w:val="11"/>
    <w:lvlOverride w:ilvl="0">
      <w:startOverride w:val="2"/>
    </w:lvlOverride>
  </w:num>
  <w:num w:numId="14">
    <w:abstractNumId w:val="13"/>
  </w:num>
  <w:num w:numId="15">
    <w:abstractNumId w:val="3"/>
  </w:num>
  <w:num w:numId="16">
    <w:abstractNumId w:val="9"/>
    <w:lvlOverride w:ilvl="0">
      <w:startOverride w:val="2"/>
    </w:lvlOverride>
  </w:num>
  <w:num w:numId="17">
    <w:abstractNumId w:val="9"/>
    <w:lvlOverride w:ilvl="0">
      <w:startOverride w:val="3"/>
    </w:lvlOverride>
  </w:num>
  <w:num w:numId="18">
    <w:abstractNumId w:val="9"/>
    <w:lvlOverride w:ilvl="0">
      <w:startOverride w:val="4"/>
    </w:lvlOverride>
  </w:num>
  <w:num w:numId="19">
    <w:abstractNumId w:val="9"/>
    <w:lvlOverride w:ilvl="0">
      <w:startOverride w:val="5"/>
    </w:lvlOverride>
  </w:num>
  <w:num w:numId="20">
    <w:abstractNumId w:val="17"/>
    <w:lvlOverride w:ilvl="0">
      <w:startOverride w:val="11"/>
    </w:lvlOverride>
  </w:num>
  <w:num w:numId="21">
    <w:abstractNumId w:val="17"/>
    <w:lvlOverride w:ilvl="0">
      <w:startOverride w:val="12"/>
    </w:lvlOverride>
  </w:num>
  <w:num w:numId="22">
    <w:abstractNumId w:val="17"/>
    <w:lvlOverride w:ilvl="0">
      <w:startOverride w:val="13"/>
    </w:lvlOverride>
  </w:num>
  <w:num w:numId="23">
    <w:abstractNumId w:val="17"/>
  </w:num>
  <w:num w:numId="24">
    <w:abstractNumId w:val="10"/>
    <w:lvlOverride w:ilvl="0">
      <w:startOverride w:val="1"/>
    </w:lvlOverride>
  </w:num>
  <w:num w:numId="25">
    <w:abstractNumId w:val="10"/>
    <w:lvlOverride w:ilvl="0">
      <w:startOverride w:val="2"/>
    </w:lvlOverride>
  </w:num>
  <w:num w:numId="26">
    <w:abstractNumId w:val="8"/>
    <w:lvlOverride w:ilvl="0">
      <w:startOverride w:val="1"/>
    </w:lvlOverride>
  </w:num>
  <w:num w:numId="27">
    <w:abstractNumId w:val="8"/>
    <w:lvlOverride w:ilvl="0">
      <w:startOverride w:val="2"/>
    </w:lvlOverride>
  </w:num>
  <w:num w:numId="28">
    <w:abstractNumId w:val="8"/>
    <w:lvlOverride w:ilvl="0">
      <w:startOverride w:val="3"/>
    </w:lvlOverride>
  </w:num>
  <w:num w:numId="29">
    <w:abstractNumId w:val="8"/>
    <w:lvlOverride w:ilvl="0">
      <w:startOverride w:val="4"/>
    </w:lvlOverride>
  </w:num>
  <w:num w:numId="30">
    <w:abstractNumId w:val="8"/>
    <w:lvlOverride w:ilvl="0">
      <w:startOverride w:val="5"/>
    </w:lvlOverride>
  </w:num>
  <w:num w:numId="31">
    <w:abstractNumId w:val="6"/>
  </w:num>
  <w:num w:numId="32">
    <w:abstractNumId w:val="1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08"/>
  <w:hyphenationZone w:val="425"/>
  <w:drawingGridHorizontalSpacing w:val="110"/>
  <w:displayHorizontalDrawingGridEvery w:val="2"/>
  <w:characterSpacingControl w:val="doNotCompress"/>
  <w:compat/>
  <w:rsids>
    <w:rsidRoot w:val="0003672D"/>
    <w:rsid w:val="0003672D"/>
    <w:rsid w:val="0008108D"/>
    <w:rsid w:val="00196672"/>
    <w:rsid w:val="00197A97"/>
    <w:rsid w:val="00283F40"/>
    <w:rsid w:val="00370424"/>
    <w:rsid w:val="004312AB"/>
    <w:rsid w:val="00451EC5"/>
    <w:rsid w:val="00661731"/>
    <w:rsid w:val="006C5AB8"/>
    <w:rsid w:val="006E643F"/>
    <w:rsid w:val="007A4AEF"/>
    <w:rsid w:val="007D4512"/>
    <w:rsid w:val="00A4421A"/>
    <w:rsid w:val="00D26311"/>
    <w:rsid w:val="00D31085"/>
    <w:rsid w:val="00DA6D7A"/>
    <w:rsid w:val="00E40792"/>
    <w:rsid w:val="00E43BC7"/>
    <w:rsid w:val="00F25B05"/>
    <w:rsid w:val="00FC635E"/>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21A"/>
    <w:pPr>
      <w:spacing w:after="200" w:line="276" w:lineRule="auto"/>
    </w:pPr>
    <w:rPr>
      <w:sz w:val="22"/>
      <w:szCs w:val="22"/>
      <w:lang w:eastAsia="en-US"/>
    </w:rPr>
  </w:style>
  <w:style w:type="paragraph" w:styleId="Ttulo2">
    <w:name w:val="heading 2"/>
    <w:basedOn w:val="Normal"/>
    <w:link w:val="Ttulo2Car"/>
    <w:uiPriority w:val="9"/>
    <w:qFormat/>
    <w:rsid w:val="004312AB"/>
    <w:pPr>
      <w:spacing w:before="100" w:beforeAutospacing="1" w:after="100" w:afterAutospacing="1" w:line="240" w:lineRule="auto"/>
      <w:outlineLvl w:val="1"/>
    </w:pPr>
    <w:rPr>
      <w:rFonts w:ascii="Times New Roman" w:eastAsia="Times New Roman" w:hAnsi="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03672D"/>
    <w:rPr>
      <w:rFonts w:eastAsia="Times New Roman"/>
      <w:sz w:val="22"/>
      <w:szCs w:val="22"/>
      <w:lang w:val="es-ES" w:eastAsia="en-US"/>
    </w:rPr>
  </w:style>
  <w:style w:type="character" w:customStyle="1" w:styleId="SinespaciadoCar">
    <w:name w:val="Sin espaciado Car"/>
    <w:basedOn w:val="Fuentedeprrafopredeter"/>
    <w:link w:val="Sinespaciado"/>
    <w:uiPriority w:val="1"/>
    <w:rsid w:val="0003672D"/>
    <w:rPr>
      <w:rFonts w:eastAsia="Times New Roman"/>
      <w:sz w:val="22"/>
      <w:szCs w:val="22"/>
      <w:lang w:val="es-ES" w:eastAsia="en-US" w:bidi="ar-SA"/>
    </w:rPr>
  </w:style>
  <w:style w:type="paragraph" w:styleId="Textodeglobo">
    <w:name w:val="Balloon Text"/>
    <w:basedOn w:val="Normal"/>
    <w:link w:val="TextodegloboCar"/>
    <w:uiPriority w:val="99"/>
    <w:semiHidden/>
    <w:unhideWhenUsed/>
    <w:rsid w:val="000367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3672D"/>
    <w:rPr>
      <w:rFonts w:ascii="Tahoma" w:hAnsi="Tahoma" w:cs="Tahoma"/>
      <w:sz w:val="16"/>
      <w:szCs w:val="16"/>
    </w:rPr>
  </w:style>
  <w:style w:type="paragraph" w:styleId="Prrafodelista">
    <w:name w:val="List Paragraph"/>
    <w:basedOn w:val="Normal"/>
    <w:uiPriority w:val="34"/>
    <w:qFormat/>
    <w:rsid w:val="00196672"/>
    <w:pPr>
      <w:ind w:left="720"/>
      <w:contextualSpacing/>
    </w:pPr>
  </w:style>
  <w:style w:type="character" w:styleId="Hipervnculo">
    <w:name w:val="Hyperlink"/>
    <w:basedOn w:val="Fuentedeprrafopredeter"/>
    <w:uiPriority w:val="99"/>
    <w:unhideWhenUsed/>
    <w:rsid w:val="00196672"/>
    <w:rPr>
      <w:color w:val="0000FF"/>
      <w:u w:val="single"/>
    </w:rPr>
  </w:style>
  <w:style w:type="paragraph" w:styleId="NormalWeb">
    <w:name w:val="Normal (Web)"/>
    <w:basedOn w:val="Normal"/>
    <w:uiPriority w:val="99"/>
    <w:semiHidden/>
    <w:unhideWhenUsed/>
    <w:rsid w:val="0019667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vspace2">
    <w:name w:val="vspace2"/>
    <w:basedOn w:val="Normal"/>
    <w:rsid w:val="00661731"/>
    <w:pPr>
      <w:spacing w:before="319" w:after="0" w:line="240" w:lineRule="auto"/>
    </w:pPr>
    <w:rPr>
      <w:rFonts w:ascii="Times New Roman" w:eastAsia="Times New Roman" w:hAnsi="Times New Roman"/>
      <w:sz w:val="24"/>
      <w:szCs w:val="24"/>
      <w:lang w:eastAsia="es-CO"/>
    </w:rPr>
  </w:style>
  <w:style w:type="character" w:customStyle="1" w:styleId="haupttext1">
    <w:name w:val="haupttext1"/>
    <w:basedOn w:val="Fuentedeprrafopredeter"/>
    <w:rsid w:val="00661731"/>
    <w:rPr>
      <w:rFonts w:ascii="Verdana" w:hAnsi="Verdana" w:hint="default"/>
      <w:sz w:val="18"/>
      <w:szCs w:val="18"/>
    </w:rPr>
  </w:style>
  <w:style w:type="character" w:customStyle="1" w:styleId="Ttulo2Car">
    <w:name w:val="Título 2 Car"/>
    <w:basedOn w:val="Fuentedeprrafopredeter"/>
    <w:link w:val="Ttulo2"/>
    <w:uiPriority w:val="9"/>
    <w:rsid w:val="004312AB"/>
    <w:rPr>
      <w:rFonts w:ascii="Times New Roman" w:eastAsia="Times New Roman" w:hAnsi="Times New Roman"/>
      <w:b/>
      <w:bCs/>
      <w:sz w:val="36"/>
      <w:szCs w:val="36"/>
    </w:rPr>
  </w:style>
</w:styles>
</file>

<file path=word/webSettings.xml><?xml version="1.0" encoding="utf-8"?>
<w:webSettings xmlns:r="http://schemas.openxmlformats.org/officeDocument/2006/relationships" xmlns:w="http://schemas.openxmlformats.org/wordprocessingml/2006/main">
  <w:divs>
    <w:div w:id="6297246">
      <w:bodyDiv w:val="1"/>
      <w:marLeft w:val="0"/>
      <w:marRight w:val="0"/>
      <w:marTop w:val="0"/>
      <w:marBottom w:val="0"/>
      <w:divBdr>
        <w:top w:val="none" w:sz="0" w:space="0" w:color="auto"/>
        <w:left w:val="none" w:sz="0" w:space="0" w:color="auto"/>
        <w:bottom w:val="none" w:sz="0" w:space="0" w:color="auto"/>
        <w:right w:val="none" w:sz="0" w:space="0" w:color="auto"/>
      </w:divBdr>
      <w:divsChild>
        <w:div w:id="1106729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430657">
      <w:bodyDiv w:val="1"/>
      <w:marLeft w:val="0"/>
      <w:marRight w:val="0"/>
      <w:marTop w:val="0"/>
      <w:marBottom w:val="0"/>
      <w:divBdr>
        <w:top w:val="none" w:sz="0" w:space="0" w:color="auto"/>
        <w:left w:val="none" w:sz="0" w:space="0" w:color="auto"/>
        <w:bottom w:val="none" w:sz="0" w:space="0" w:color="auto"/>
        <w:right w:val="none" w:sz="0" w:space="0" w:color="auto"/>
      </w:divBdr>
      <w:divsChild>
        <w:div w:id="1635208551">
          <w:marLeft w:val="0"/>
          <w:marRight w:val="0"/>
          <w:marTop w:val="0"/>
          <w:marBottom w:val="0"/>
          <w:divBdr>
            <w:top w:val="none" w:sz="0" w:space="0" w:color="auto"/>
            <w:left w:val="none" w:sz="0" w:space="0" w:color="auto"/>
            <w:bottom w:val="none" w:sz="0" w:space="0" w:color="auto"/>
            <w:right w:val="none" w:sz="0" w:space="0" w:color="auto"/>
          </w:divBdr>
          <w:divsChild>
            <w:div w:id="857818179">
              <w:marLeft w:val="0"/>
              <w:marRight w:val="0"/>
              <w:marTop w:val="0"/>
              <w:marBottom w:val="0"/>
              <w:divBdr>
                <w:top w:val="none" w:sz="0" w:space="0" w:color="auto"/>
                <w:left w:val="none" w:sz="0" w:space="0" w:color="auto"/>
                <w:bottom w:val="none" w:sz="0" w:space="0" w:color="auto"/>
                <w:right w:val="none" w:sz="0" w:space="0" w:color="auto"/>
              </w:divBdr>
              <w:divsChild>
                <w:div w:id="1296986468">
                  <w:marLeft w:val="0"/>
                  <w:marRight w:val="0"/>
                  <w:marTop w:val="0"/>
                  <w:marBottom w:val="0"/>
                  <w:divBdr>
                    <w:top w:val="none" w:sz="0" w:space="0" w:color="auto"/>
                    <w:left w:val="none" w:sz="0" w:space="0" w:color="auto"/>
                    <w:bottom w:val="none" w:sz="0" w:space="0" w:color="auto"/>
                    <w:right w:val="none" w:sz="0" w:space="0" w:color="auto"/>
                  </w:divBdr>
                  <w:divsChild>
                    <w:div w:id="1642492531">
                      <w:marLeft w:val="0"/>
                      <w:marRight w:val="0"/>
                      <w:marTop w:val="0"/>
                      <w:marBottom w:val="0"/>
                      <w:divBdr>
                        <w:top w:val="none" w:sz="0" w:space="0" w:color="auto"/>
                        <w:left w:val="none" w:sz="0" w:space="0" w:color="auto"/>
                        <w:bottom w:val="none" w:sz="0" w:space="0" w:color="auto"/>
                        <w:right w:val="none" w:sz="0" w:space="0" w:color="auto"/>
                      </w:divBdr>
                      <w:divsChild>
                        <w:div w:id="1403021809">
                          <w:marLeft w:val="0"/>
                          <w:marRight w:val="0"/>
                          <w:marTop w:val="0"/>
                          <w:marBottom w:val="0"/>
                          <w:divBdr>
                            <w:top w:val="none" w:sz="0" w:space="0" w:color="auto"/>
                            <w:left w:val="none" w:sz="0" w:space="0" w:color="auto"/>
                            <w:bottom w:val="none" w:sz="0" w:space="0" w:color="auto"/>
                            <w:right w:val="none" w:sz="0" w:space="0" w:color="auto"/>
                          </w:divBdr>
                          <w:divsChild>
                            <w:div w:id="9701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2229753">
      <w:bodyDiv w:val="1"/>
      <w:marLeft w:val="0"/>
      <w:marRight w:val="0"/>
      <w:marTop w:val="0"/>
      <w:marBottom w:val="0"/>
      <w:divBdr>
        <w:top w:val="none" w:sz="0" w:space="0" w:color="auto"/>
        <w:left w:val="none" w:sz="0" w:space="0" w:color="auto"/>
        <w:bottom w:val="none" w:sz="0" w:space="0" w:color="auto"/>
        <w:right w:val="none" w:sz="0" w:space="0" w:color="auto"/>
      </w:divBdr>
      <w:divsChild>
        <w:div w:id="1138260374">
          <w:marLeft w:val="0"/>
          <w:marRight w:val="0"/>
          <w:marTop w:val="0"/>
          <w:marBottom w:val="0"/>
          <w:divBdr>
            <w:top w:val="none" w:sz="0" w:space="0" w:color="auto"/>
            <w:left w:val="none" w:sz="0" w:space="0" w:color="auto"/>
            <w:bottom w:val="none" w:sz="0" w:space="0" w:color="auto"/>
            <w:right w:val="none" w:sz="0" w:space="0" w:color="auto"/>
          </w:divBdr>
          <w:divsChild>
            <w:div w:id="11703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1756">
      <w:bodyDiv w:val="1"/>
      <w:marLeft w:val="0"/>
      <w:marRight w:val="0"/>
      <w:marTop w:val="0"/>
      <w:marBottom w:val="0"/>
      <w:divBdr>
        <w:top w:val="none" w:sz="0" w:space="0" w:color="auto"/>
        <w:left w:val="none" w:sz="0" w:space="0" w:color="auto"/>
        <w:bottom w:val="none" w:sz="0" w:space="0" w:color="auto"/>
        <w:right w:val="none" w:sz="0" w:space="0" w:color="auto"/>
      </w:divBdr>
      <w:divsChild>
        <w:div w:id="865213692">
          <w:marLeft w:val="0"/>
          <w:marRight w:val="0"/>
          <w:marTop w:val="0"/>
          <w:marBottom w:val="0"/>
          <w:divBdr>
            <w:top w:val="none" w:sz="0" w:space="0" w:color="auto"/>
            <w:left w:val="none" w:sz="0" w:space="0" w:color="auto"/>
            <w:bottom w:val="none" w:sz="0" w:space="0" w:color="auto"/>
            <w:right w:val="none" w:sz="0" w:space="0" w:color="auto"/>
          </w:divBdr>
          <w:divsChild>
            <w:div w:id="1964265682">
              <w:marLeft w:val="0"/>
              <w:marRight w:val="0"/>
              <w:marTop w:val="0"/>
              <w:marBottom w:val="0"/>
              <w:divBdr>
                <w:top w:val="none" w:sz="0" w:space="0" w:color="auto"/>
                <w:left w:val="none" w:sz="0" w:space="0" w:color="auto"/>
                <w:bottom w:val="none" w:sz="0" w:space="0" w:color="auto"/>
                <w:right w:val="none" w:sz="0" w:space="0" w:color="auto"/>
              </w:divBdr>
              <w:divsChild>
                <w:div w:id="1465272318">
                  <w:marLeft w:val="0"/>
                  <w:marRight w:val="0"/>
                  <w:marTop w:val="0"/>
                  <w:marBottom w:val="0"/>
                  <w:divBdr>
                    <w:top w:val="none" w:sz="0" w:space="0" w:color="auto"/>
                    <w:left w:val="none" w:sz="0" w:space="0" w:color="auto"/>
                    <w:bottom w:val="none" w:sz="0" w:space="0" w:color="auto"/>
                    <w:right w:val="none" w:sz="0" w:space="0" w:color="auto"/>
                  </w:divBdr>
                  <w:divsChild>
                    <w:div w:id="1534996679">
                      <w:marLeft w:val="0"/>
                      <w:marRight w:val="0"/>
                      <w:marTop w:val="0"/>
                      <w:marBottom w:val="0"/>
                      <w:divBdr>
                        <w:top w:val="none" w:sz="0" w:space="0" w:color="auto"/>
                        <w:left w:val="none" w:sz="0" w:space="0" w:color="auto"/>
                        <w:bottom w:val="none" w:sz="0" w:space="0" w:color="auto"/>
                        <w:right w:val="none" w:sz="0" w:space="0" w:color="auto"/>
                      </w:divBdr>
                      <w:divsChild>
                        <w:div w:id="3518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911550">
      <w:bodyDiv w:val="1"/>
      <w:marLeft w:val="0"/>
      <w:marRight w:val="0"/>
      <w:marTop w:val="0"/>
      <w:marBottom w:val="0"/>
      <w:divBdr>
        <w:top w:val="none" w:sz="0" w:space="0" w:color="auto"/>
        <w:left w:val="none" w:sz="0" w:space="0" w:color="auto"/>
        <w:bottom w:val="none" w:sz="0" w:space="0" w:color="auto"/>
        <w:right w:val="none" w:sz="0" w:space="0" w:color="auto"/>
      </w:divBdr>
      <w:divsChild>
        <w:div w:id="2089770555">
          <w:marLeft w:val="0"/>
          <w:marRight w:val="0"/>
          <w:marTop w:val="0"/>
          <w:marBottom w:val="0"/>
          <w:divBdr>
            <w:top w:val="none" w:sz="0" w:space="0" w:color="auto"/>
            <w:left w:val="none" w:sz="0" w:space="0" w:color="auto"/>
            <w:bottom w:val="none" w:sz="0" w:space="0" w:color="auto"/>
            <w:right w:val="none" w:sz="0" w:space="0" w:color="auto"/>
          </w:divBdr>
          <w:divsChild>
            <w:div w:id="217783304">
              <w:marLeft w:val="0"/>
              <w:marRight w:val="0"/>
              <w:marTop w:val="0"/>
              <w:marBottom w:val="0"/>
              <w:divBdr>
                <w:top w:val="none" w:sz="0" w:space="0" w:color="auto"/>
                <w:left w:val="none" w:sz="0" w:space="0" w:color="auto"/>
                <w:bottom w:val="none" w:sz="0" w:space="0" w:color="auto"/>
                <w:right w:val="none" w:sz="0" w:space="0" w:color="auto"/>
              </w:divBdr>
              <w:divsChild>
                <w:div w:id="323047763">
                  <w:marLeft w:val="0"/>
                  <w:marRight w:val="0"/>
                  <w:marTop w:val="0"/>
                  <w:marBottom w:val="0"/>
                  <w:divBdr>
                    <w:top w:val="none" w:sz="0" w:space="0" w:color="auto"/>
                    <w:left w:val="none" w:sz="0" w:space="0" w:color="auto"/>
                    <w:bottom w:val="none" w:sz="0" w:space="0" w:color="auto"/>
                    <w:right w:val="none" w:sz="0" w:space="0" w:color="auto"/>
                  </w:divBdr>
                  <w:divsChild>
                    <w:div w:id="1396319619">
                      <w:marLeft w:val="0"/>
                      <w:marRight w:val="0"/>
                      <w:marTop w:val="0"/>
                      <w:marBottom w:val="0"/>
                      <w:divBdr>
                        <w:top w:val="none" w:sz="0" w:space="0" w:color="auto"/>
                        <w:left w:val="none" w:sz="0" w:space="0" w:color="auto"/>
                        <w:bottom w:val="none" w:sz="0" w:space="0" w:color="auto"/>
                        <w:right w:val="none" w:sz="0" w:space="0" w:color="auto"/>
                      </w:divBdr>
                      <w:divsChild>
                        <w:div w:id="10503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676242">
      <w:bodyDiv w:val="1"/>
      <w:marLeft w:val="0"/>
      <w:marRight w:val="0"/>
      <w:marTop w:val="0"/>
      <w:marBottom w:val="0"/>
      <w:divBdr>
        <w:top w:val="none" w:sz="0" w:space="0" w:color="auto"/>
        <w:left w:val="none" w:sz="0" w:space="0" w:color="auto"/>
        <w:bottom w:val="none" w:sz="0" w:space="0" w:color="auto"/>
        <w:right w:val="none" w:sz="0" w:space="0" w:color="auto"/>
      </w:divBdr>
      <w:divsChild>
        <w:div w:id="898587258">
          <w:marLeft w:val="0"/>
          <w:marRight w:val="0"/>
          <w:marTop w:val="0"/>
          <w:marBottom w:val="0"/>
          <w:divBdr>
            <w:top w:val="none" w:sz="0" w:space="0" w:color="auto"/>
            <w:left w:val="none" w:sz="0" w:space="0" w:color="auto"/>
            <w:bottom w:val="none" w:sz="0" w:space="0" w:color="auto"/>
            <w:right w:val="none" w:sz="0" w:space="0" w:color="auto"/>
          </w:divBdr>
          <w:divsChild>
            <w:div w:id="74671936">
              <w:marLeft w:val="0"/>
              <w:marRight w:val="0"/>
              <w:marTop w:val="0"/>
              <w:marBottom w:val="0"/>
              <w:divBdr>
                <w:top w:val="none" w:sz="0" w:space="0" w:color="auto"/>
                <w:left w:val="none" w:sz="0" w:space="0" w:color="auto"/>
                <w:bottom w:val="none" w:sz="0" w:space="0" w:color="auto"/>
                <w:right w:val="none" w:sz="0" w:space="0" w:color="auto"/>
              </w:divBdr>
              <w:divsChild>
                <w:div w:id="853496798">
                  <w:marLeft w:val="0"/>
                  <w:marRight w:val="0"/>
                  <w:marTop w:val="0"/>
                  <w:marBottom w:val="0"/>
                  <w:divBdr>
                    <w:top w:val="none" w:sz="0" w:space="0" w:color="auto"/>
                    <w:left w:val="none" w:sz="0" w:space="0" w:color="auto"/>
                    <w:bottom w:val="none" w:sz="0" w:space="0" w:color="auto"/>
                    <w:right w:val="none" w:sz="0" w:space="0" w:color="auto"/>
                  </w:divBdr>
                  <w:divsChild>
                    <w:div w:id="1145009402">
                      <w:marLeft w:val="0"/>
                      <w:marRight w:val="0"/>
                      <w:marTop w:val="0"/>
                      <w:marBottom w:val="0"/>
                      <w:divBdr>
                        <w:top w:val="none" w:sz="0" w:space="0" w:color="auto"/>
                        <w:left w:val="none" w:sz="0" w:space="0" w:color="auto"/>
                        <w:bottom w:val="none" w:sz="0" w:space="0" w:color="auto"/>
                        <w:right w:val="none" w:sz="0" w:space="0" w:color="auto"/>
                      </w:divBdr>
                      <w:divsChild>
                        <w:div w:id="81757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98274">
      <w:bodyDiv w:val="1"/>
      <w:marLeft w:val="0"/>
      <w:marRight w:val="0"/>
      <w:marTop w:val="0"/>
      <w:marBottom w:val="0"/>
      <w:divBdr>
        <w:top w:val="none" w:sz="0" w:space="0" w:color="auto"/>
        <w:left w:val="none" w:sz="0" w:space="0" w:color="auto"/>
        <w:bottom w:val="none" w:sz="0" w:space="0" w:color="auto"/>
        <w:right w:val="none" w:sz="0" w:space="0" w:color="auto"/>
      </w:divBdr>
      <w:divsChild>
        <w:div w:id="2013944716">
          <w:marLeft w:val="0"/>
          <w:marRight w:val="0"/>
          <w:marTop w:val="0"/>
          <w:marBottom w:val="0"/>
          <w:divBdr>
            <w:top w:val="none" w:sz="0" w:space="0" w:color="auto"/>
            <w:left w:val="none" w:sz="0" w:space="0" w:color="auto"/>
            <w:bottom w:val="none" w:sz="0" w:space="0" w:color="auto"/>
            <w:right w:val="none" w:sz="0" w:space="0" w:color="auto"/>
          </w:divBdr>
          <w:divsChild>
            <w:div w:id="2094663490">
              <w:marLeft w:val="0"/>
              <w:marRight w:val="0"/>
              <w:marTop w:val="0"/>
              <w:marBottom w:val="0"/>
              <w:divBdr>
                <w:top w:val="none" w:sz="0" w:space="0" w:color="auto"/>
                <w:left w:val="none" w:sz="0" w:space="0" w:color="auto"/>
                <w:bottom w:val="none" w:sz="0" w:space="0" w:color="auto"/>
                <w:right w:val="none" w:sz="0" w:space="0" w:color="auto"/>
              </w:divBdr>
              <w:divsChild>
                <w:div w:id="846481833">
                  <w:marLeft w:val="0"/>
                  <w:marRight w:val="0"/>
                  <w:marTop w:val="0"/>
                  <w:marBottom w:val="0"/>
                  <w:divBdr>
                    <w:top w:val="none" w:sz="0" w:space="0" w:color="auto"/>
                    <w:left w:val="none" w:sz="0" w:space="0" w:color="auto"/>
                    <w:bottom w:val="none" w:sz="0" w:space="0" w:color="auto"/>
                    <w:right w:val="none" w:sz="0" w:space="0" w:color="auto"/>
                  </w:divBdr>
                  <w:divsChild>
                    <w:div w:id="2080326145">
                      <w:marLeft w:val="0"/>
                      <w:marRight w:val="0"/>
                      <w:marTop w:val="0"/>
                      <w:marBottom w:val="0"/>
                      <w:divBdr>
                        <w:top w:val="none" w:sz="0" w:space="0" w:color="auto"/>
                        <w:left w:val="none" w:sz="0" w:space="0" w:color="auto"/>
                        <w:bottom w:val="none" w:sz="0" w:space="0" w:color="auto"/>
                        <w:right w:val="none" w:sz="0" w:space="0" w:color="auto"/>
                      </w:divBdr>
                      <w:divsChild>
                        <w:div w:id="110935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330888">
      <w:bodyDiv w:val="1"/>
      <w:marLeft w:val="0"/>
      <w:marRight w:val="0"/>
      <w:marTop w:val="0"/>
      <w:marBottom w:val="0"/>
      <w:divBdr>
        <w:top w:val="none" w:sz="0" w:space="0" w:color="auto"/>
        <w:left w:val="none" w:sz="0" w:space="0" w:color="auto"/>
        <w:bottom w:val="none" w:sz="0" w:space="0" w:color="auto"/>
        <w:right w:val="none" w:sz="0" w:space="0" w:color="auto"/>
      </w:divBdr>
    </w:div>
    <w:div w:id="1162742600">
      <w:bodyDiv w:val="1"/>
      <w:marLeft w:val="0"/>
      <w:marRight w:val="0"/>
      <w:marTop w:val="0"/>
      <w:marBottom w:val="0"/>
      <w:divBdr>
        <w:top w:val="none" w:sz="0" w:space="0" w:color="auto"/>
        <w:left w:val="none" w:sz="0" w:space="0" w:color="auto"/>
        <w:bottom w:val="none" w:sz="0" w:space="0" w:color="auto"/>
        <w:right w:val="none" w:sz="0" w:space="0" w:color="auto"/>
      </w:divBdr>
      <w:divsChild>
        <w:div w:id="1773017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1653372">
      <w:bodyDiv w:val="1"/>
      <w:marLeft w:val="0"/>
      <w:marRight w:val="0"/>
      <w:marTop w:val="0"/>
      <w:marBottom w:val="0"/>
      <w:divBdr>
        <w:top w:val="none" w:sz="0" w:space="0" w:color="auto"/>
        <w:left w:val="none" w:sz="0" w:space="0" w:color="auto"/>
        <w:bottom w:val="none" w:sz="0" w:space="0" w:color="auto"/>
        <w:right w:val="none" w:sz="0" w:space="0" w:color="auto"/>
      </w:divBdr>
      <w:divsChild>
        <w:div w:id="1680500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9461936">
      <w:bodyDiv w:val="1"/>
      <w:marLeft w:val="0"/>
      <w:marRight w:val="0"/>
      <w:marTop w:val="0"/>
      <w:marBottom w:val="0"/>
      <w:divBdr>
        <w:top w:val="none" w:sz="0" w:space="0" w:color="auto"/>
        <w:left w:val="none" w:sz="0" w:space="0" w:color="auto"/>
        <w:bottom w:val="none" w:sz="0" w:space="0" w:color="auto"/>
        <w:right w:val="none" w:sz="0" w:space="0" w:color="auto"/>
      </w:divBdr>
      <w:divsChild>
        <w:div w:id="1239510753">
          <w:marLeft w:val="0"/>
          <w:marRight w:val="0"/>
          <w:marTop w:val="0"/>
          <w:marBottom w:val="0"/>
          <w:divBdr>
            <w:top w:val="none" w:sz="0" w:space="0" w:color="auto"/>
            <w:left w:val="none" w:sz="0" w:space="0" w:color="auto"/>
            <w:bottom w:val="none" w:sz="0" w:space="0" w:color="auto"/>
            <w:right w:val="none" w:sz="0" w:space="0" w:color="auto"/>
          </w:divBdr>
          <w:divsChild>
            <w:div w:id="1735351865">
              <w:marLeft w:val="0"/>
              <w:marRight w:val="0"/>
              <w:marTop w:val="0"/>
              <w:marBottom w:val="0"/>
              <w:divBdr>
                <w:top w:val="none" w:sz="0" w:space="0" w:color="auto"/>
                <w:left w:val="none" w:sz="0" w:space="0" w:color="auto"/>
                <w:bottom w:val="none" w:sz="0" w:space="0" w:color="auto"/>
                <w:right w:val="none" w:sz="0" w:space="0" w:color="auto"/>
              </w:divBdr>
              <w:divsChild>
                <w:div w:id="1297293797">
                  <w:marLeft w:val="0"/>
                  <w:marRight w:val="0"/>
                  <w:marTop w:val="0"/>
                  <w:marBottom w:val="0"/>
                  <w:divBdr>
                    <w:top w:val="none" w:sz="0" w:space="0" w:color="auto"/>
                    <w:left w:val="none" w:sz="0" w:space="0" w:color="auto"/>
                    <w:bottom w:val="none" w:sz="0" w:space="0" w:color="auto"/>
                    <w:right w:val="none" w:sz="0" w:space="0" w:color="auto"/>
                  </w:divBdr>
                  <w:divsChild>
                    <w:div w:id="1859612602">
                      <w:marLeft w:val="0"/>
                      <w:marRight w:val="0"/>
                      <w:marTop w:val="0"/>
                      <w:marBottom w:val="0"/>
                      <w:divBdr>
                        <w:top w:val="none" w:sz="0" w:space="0" w:color="auto"/>
                        <w:left w:val="none" w:sz="0" w:space="0" w:color="auto"/>
                        <w:bottom w:val="none" w:sz="0" w:space="0" w:color="auto"/>
                        <w:right w:val="none" w:sz="0" w:space="0" w:color="auto"/>
                      </w:divBdr>
                      <w:divsChild>
                        <w:div w:id="73840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044942">
      <w:bodyDiv w:val="1"/>
      <w:marLeft w:val="0"/>
      <w:marRight w:val="0"/>
      <w:marTop w:val="0"/>
      <w:marBottom w:val="0"/>
      <w:divBdr>
        <w:top w:val="none" w:sz="0" w:space="0" w:color="auto"/>
        <w:left w:val="none" w:sz="0" w:space="0" w:color="auto"/>
        <w:bottom w:val="none" w:sz="0" w:space="0" w:color="auto"/>
        <w:right w:val="none" w:sz="0" w:space="0" w:color="auto"/>
      </w:divBdr>
      <w:divsChild>
        <w:div w:id="1281105641">
          <w:marLeft w:val="0"/>
          <w:marRight w:val="0"/>
          <w:marTop w:val="0"/>
          <w:marBottom w:val="0"/>
          <w:divBdr>
            <w:top w:val="none" w:sz="0" w:space="0" w:color="auto"/>
            <w:left w:val="none" w:sz="0" w:space="0" w:color="auto"/>
            <w:bottom w:val="none" w:sz="0" w:space="0" w:color="auto"/>
            <w:right w:val="none" w:sz="0" w:space="0" w:color="auto"/>
          </w:divBdr>
          <w:divsChild>
            <w:div w:id="932708931">
              <w:marLeft w:val="0"/>
              <w:marRight w:val="2263"/>
              <w:marTop w:val="0"/>
              <w:marBottom w:val="0"/>
              <w:divBdr>
                <w:top w:val="none" w:sz="0" w:space="0" w:color="auto"/>
                <w:left w:val="none" w:sz="0" w:space="0" w:color="auto"/>
                <w:bottom w:val="none" w:sz="0" w:space="0" w:color="auto"/>
                <w:right w:val="none" w:sz="0" w:space="0" w:color="auto"/>
              </w:divBdr>
              <w:divsChild>
                <w:div w:id="143396439">
                  <w:marLeft w:val="64"/>
                  <w:marRight w:val="64"/>
                  <w:marTop w:val="0"/>
                  <w:marBottom w:val="0"/>
                  <w:divBdr>
                    <w:top w:val="none" w:sz="0" w:space="0" w:color="auto"/>
                    <w:left w:val="none" w:sz="0" w:space="0" w:color="auto"/>
                    <w:bottom w:val="none" w:sz="0" w:space="0" w:color="auto"/>
                    <w:right w:val="none" w:sz="0" w:space="0" w:color="auto"/>
                  </w:divBdr>
                  <w:divsChild>
                    <w:div w:id="1427380242">
                      <w:marLeft w:val="0"/>
                      <w:marRight w:val="0"/>
                      <w:marTop w:val="0"/>
                      <w:marBottom w:val="0"/>
                      <w:divBdr>
                        <w:top w:val="none" w:sz="0" w:space="0" w:color="auto"/>
                        <w:left w:val="none" w:sz="0" w:space="0" w:color="auto"/>
                        <w:bottom w:val="none" w:sz="0" w:space="0" w:color="auto"/>
                        <w:right w:val="none" w:sz="0" w:space="0" w:color="auto"/>
                      </w:divBdr>
                      <w:divsChild>
                        <w:div w:id="797140211">
                          <w:marLeft w:val="64"/>
                          <w:marRight w:val="64"/>
                          <w:marTop w:val="0"/>
                          <w:marBottom w:val="0"/>
                          <w:divBdr>
                            <w:top w:val="none" w:sz="0" w:space="0" w:color="auto"/>
                            <w:left w:val="none" w:sz="0" w:space="0" w:color="auto"/>
                            <w:bottom w:val="none" w:sz="0" w:space="0" w:color="auto"/>
                            <w:right w:val="none" w:sz="0" w:space="0" w:color="auto"/>
                          </w:divBdr>
                          <w:divsChild>
                            <w:div w:id="52818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502768">
      <w:bodyDiv w:val="1"/>
      <w:marLeft w:val="0"/>
      <w:marRight w:val="0"/>
      <w:marTop w:val="0"/>
      <w:marBottom w:val="0"/>
      <w:divBdr>
        <w:top w:val="none" w:sz="0" w:space="0" w:color="auto"/>
        <w:left w:val="none" w:sz="0" w:space="0" w:color="auto"/>
        <w:bottom w:val="none" w:sz="0" w:space="0" w:color="auto"/>
        <w:right w:val="none" w:sz="0" w:space="0" w:color="auto"/>
      </w:divBdr>
      <w:divsChild>
        <w:div w:id="1519388415">
          <w:marLeft w:val="0"/>
          <w:marRight w:val="0"/>
          <w:marTop w:val="0"/>
          <w:marBottom w:val="0"/>
          <w:divBdr>
            <w:top w:val="none" w:sz="0" w:space="0" w:color="auto"/>
            <w:left w:val="none" w:sz="0" w:space="0" w:color="auto"/>
            <w:bottom w:val="none" w:sz="0" w:space="0" w:color="auto"/>
            <w:right w:val="none" w:sz="0" w:space="0" w:color="auto"/>
          </w:divBdr>
          <w:divsChild>
            <w:div w:id="1382285578">
              <w:marLeft w:val="0"/>
              <w:marRight w:val="2263"/>
              <w:marTop w:val="0"/>
              <w:marBottom w:val="0"/>
              <w:divBdr>
                <w:top w:val="none" w:sz="0" w:space="0" w:color="auto"/>
                <w:left w:val="none" w:sz="0" w:space="0" w:color="auto"/>
                <w:bottom w:val="none" w:sz="0" w:space="0" w:color="auto"/>
                <w:right w:val="none" w:sz="0" w:space="0" w:color="auto"/>
              </w:divBdr>
              <w:divsChild>
                <w:div w:id="1045370597">
                  <w:marLeft w:val="64"/>
                  <w:marRight w:val="64"/>
                  <w:marTop w:val="0"/>
                  <w:marBottom w:val="0"/>
                  <w:divBdr>
                    <w:top w:val="none" w:sz="0" w:space="0" w:color="auto"/>
                    <w:left w:val="none" w:sz="0" w:space="0" w:color="auto"/>
                    <w:bottom w:val="none" w:sz="0" w:space="0" w:color="auto"/>
                    <w:right w:val="none" w:sz="0" w:space="0" w:color="auto"/>
                  </w:divBdr>
                  <w:divsChild>
                    <w:div w:id="2117630576">
                      <w:marLeft w:val="0"/>
                      <w:marRight w:val="0"/>
                      <w:marTop w:val="0"/>
                      <w:marBottom w:val="0"/>
                      <w:divBdr>
                        <w:top w:val="none" w:sz="0" w:space="0" w:color="auto"/>
                        <w:left w:val="none" w:sz="0" w:space="0" w:color="auto"/>
                        <w:bottom w:val="none" w:sz="0" w:space="0" w:color="auto"/>
                        <w:right w:val="none" w:sz="0" w:space="0" w:color="auto"/>
                      </w:divBdr>
                      <w:divsChild>
                        <w:div w:id="1287783968">
                          <w:marLeft w:val="64"/>
                          <w:marRight w:val="64"/>
                          <w:marTop w:val="0"/>
                          <w:marBottom w:val="0"/>
                          <w:divBdr>
                            <w:top w:val="none" w:sz="0" w:space="0" w:color="auto"/>
                            <w:left w:val="none" w:sz="0" w:space="0" w:color="auto"/>
                            <w:bottom w:val="none" w:sz="0" w:space="0" w:color="auto"/>
                            <w:right w:val="none" w:sz="0" w:space="0" w:color="auto"/>
                          </w:divBdr>
                          <w:divsChild>
                            <w:div w:id="183849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593215">
      <w:bodyDiv w:val="1"/>
      <w:marLeft w:val="0"/>
      <w:marRight w:val="0"/>
      <w:marTop w:val="0"/>
      <w:marBottom w:val="0"/>
      <w:divBdr>
        <w:top w:val="none" w:sz="0" w:space="0" w:color="auto"/>
        <w:left w:val="none" w:sz="0" w:space="0" w:color="auto"/>
        <w:bottom w:val="none" w:sz="0" w:space="0" w:color="auto"/>
        <w:right w:val="none" w:sz="0" w:space="0" w:color="auto"/>
      </w:divBdr>
    </w:div>
    <w:div w:id="18349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onomia48.com/spa/d/ley-de-los-rendimientos-decrecientes/ley-de-los-rendimientos-decrecientes.htm" TargetMode="External"/><Relationship Id="rId18" Type="http://schemas.openxmlformats.org/officeDocument/2006/relationships/hyperlink" Target="http://www.economia48.com/spa/d/tierra/tierra.htm" TargetMode="External"/><Relationship Id="rId26" Type="http://schemas.openxmlformats.org/officeDocument/2006/relationships/image" Target="media/image4.jpeg"/><Relationship Id="rId39" Type="http://schemas.openxmlformats.org/officeDocument/2006/relationships/image" Target="media/image15.gif"/><Relationship Id="rId3" Type="http://schemas.openxmlformats.org/officeDocument/2006/relationships/styles" Target="styles.xml"/><Relationship Id="rId21" Type="http://schemas.openxmlformats.org/officeDocument/2006/relationships/hyperlink" Target="http://www.economia48.com/spa/d/cambio/cambio.htm" TargetMode="External"/><Relationship Id="rId34" Type="http://schemas.openxmlformats.org/officeDocument/2006/relationships/image" Target="media/image10.gif"/><Relationship Id="rId42" Type="http://schemas.openxmlformats.org/officeDocument/2006/relationships/image" Target="media/image18.gif"/><Relationship Id="rId47" Type="http://schemas.openxmlformats.org/officeDocument/2006/relationships/hyperlink" Target="http://www.monografias.com/trabajos6/maca/maca.shtml" TargetMode="External"/><Relationship Id="rId50" Type="http://schemas.openxmlformats.org/officeDocument/2006/relationships/image" Target="media/image20.jpeg"/><Relationship Id="rId7" Type="http://schemas.openxmlformats.org/officeDocument/2006/relationships/hyperlink" Target="http://es.wikipedia.org/wiki/Inventario" TargetMode="External"/><Relationship Id="rId12" Type="http://schemas.openxmlformats.org/officeDocument/2006/relationships/hyperlink" Target="http://www.economia48.com/spa/d/escala/escala.htm" TargetMode="External"/><Relationship Id="rId17" Type="http://schemas.openxmlformats.org/officeDocument/2006/relationships/hyperlink" Target="http://www.economia48.com/spa/d/fijo/fijo.htm" TargetMode="External"/><Relationship Id="rId25" Type="http://schemas.openxmlformats.org/officeDocument/2006/relationships/hyperlink" Target="http://www.economia48.com/spa/d/factor/factor.htm" TargetMode="External"/><Relationship Id="rId33" Type="http://schemas.openxmlformats.org/officeDocument/2006/relationships/image" Target="media/image9.jpeg"/><Relationship Id="rId38" Type="http://schemas.openxmlformats.org/officeDocument/2006/relationships/image" Target="media/image14.gif"/><Relationship Id="rId46" Type="http://schemas.openxmlformats.org/officeDocument/2006/relationships/hyperlink" Target="http://www.monografias.com/Computacion/Software/" TargetMode="External"/><Relationship Id="rId2" Type="http://schemas.openxmlformats.org/officeDocument/2006/relationships/numbering" Target="numbering.xml"/><Relationship Id="rId16" Type="http://schemas.openxmlformats.org/officeDocument/2006/relationships/hyperlink" Target="http://www.economia48.com/spa/d/trabajo/trabajo.htm" TargetMode="External"/><Relationship Id="rId20" Type="http://schemas.openxmlformats.org/officeDocument/2006/relationships/hyperlink" Target="http://www.economia48.com/spa/d/produccion/produccion.htm" TargetMode="External"/><Relationship Id="rId29" Type="http://schemas.openxmlformats.org/officeDocument/2006/relationships/hyperlink" Target="http://www.deguate.com/infocentros/gerencia/mercadeo/mk12.htm" TargetMode="External"/><Relationship Id="rId41"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hyperlink" Target="http://es.wikipedia.org/w/index.php?title=Inventario_de_seguridad&amp;action=edit&amp;redlink=1" TargetMode="External"/><Relationship Id="rId11" Type="http://schemas.openxmlformats.org/officeDocument/2006/relationships/hyperlink" Target="http://www.economia48.com/spa/d/economia/economia.htm" TargetMode="External"/><Relationship Id="rId24" Type="http://schemas.openxmlformats.org/officeDocument/2006/relationships/hyperlink" Target="http://www.economia48.com/spa/d/estructura/estructura.htm" TargetMode="Externa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image" Target="media/image16.gif"/><Relationship Id="rId45" Type="http://schemas.openxmlformats.org/officeDocument/2006/relationships/hyperlink" Target="http://www.monografias.com/trabajos14/opticatp/opticatp.shtml" TargetMode="External"/><Relationship Id="rId5" Type="http://schemas.openxmlformats.org/officeDocument/2006/relationships/webSettings" Target="webSettings.xml"/><Relationship Id="rId15" Type="http://schemas.openxmlformats.org/officeDocument/2006/relationships/hyperlink" Target="http://www.economia48.com/spa/d/produccion/produccion.htm" TargetMode="External"/><Relationship Id="rId23" Type="http://schemas.openxmlformats.org/officeDocument/2006/relationships/hyperlink" Target="http://www.economia48.com/spa/d/cambio/cambio.htm" TargetMode="External"/><Relationship Id="rId28" Type="http://schemas.openxmlformats.org/officeDocument/2006/relationships/image" Target="media/image6.gif"/><Relationship Id="rId36" Type="http://schemas.openxmlformats.org/officeDocument/2006/relationships/image" Target="media/image12.jpeg"/><Relationship Id="rId49" Type="http://schemas.openxmlformats.org/officeDocument/2006/relationships/hyperlink" Target="http://www.monografias.com/trabajos13/mapro/mapro.shtml" TargetMode="External"/><Relationship Id="rId10" Type="http://schemas.openxmlformats.org/officeDocument/2006/relationships/image" Target="media/image3.jpeg"/><Relationship Id="rId19" Type="http://schemas.openxmlformats.org/officeDocument/2006/relationships/hyperlink" Target="http://www.economia48.com/spa/d/volumen/volumen.htm" TargetMode="External"/><Relationship Id="rId31" Type="http://schemas.openxmlformats.org/officeDocument/2006/relationships/image" Target="media/image7.gif"/><Relationship Id="rId44" Type="http://schemas.openxmlformats.org/officeDocument/2006/relationships/hyperlink" Target="http://www.monografias.com/trabajos11/travent/travent.s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economia48.com/spa/d/factor/factor.htm" TargetMode="External"/><Relationship Id="rId22" Type="http://schemas.openxmlformats.org/officeDocument/2006/relationships/hyperlink" Target="http://www.economia48.com/spa/d/escala/escala.htm" TargetMode="External"/><Relationship Id="rId27" Type="http://schemas.openxmlformats.org/officeDocument/2006/relationships/image" Target="media/image5.gif"/><Relationship Id="rId30" Type="http://schemas.openxmlformats.org/officeDocument/2006/relationships/hyperlink" Target="http://www.deguate.com/infocentros/gerencia/mercadeo/mk12.htm" TargetMode="External"/><Relationship Id="rId35" Type="http://schemas.openxmlformats.org/officeDocument/2006/relationships/image" Target="media/image11.jpeg"/><Relationship Id="rId43" Type="http://schemas.openxmlformats.org/officeDocument/2006/relationships/image" Target="media/image19.jpeg"/><Relationship Id="rId48" Type="http://schemas.openxmlformats.org/officeDocument/2006/relationships/hyperlink" Target="http://www.monografias.com/trabajos7/regi/regi.shtml"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2010-12-06T00:00:00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5858</Words>
  <Characters>32222</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Trazabilidad en los canales de distribución.</vt:lpstr>
    </vt:vector>
  </TitlesOfParts>
  <Company>Pf. Javier Leguizamón.</Company>
  <LinksUpToDate>false</LinksUpToDate>
  <CharactersWithSpaces>38004</CharactersWithSpaces>
  <SharedDoc>false</SharedDoc>
  <HLinks>
    <vt:vector size="114" baseType="variant">
      <vt:variant>
        <vt:i4>1507341</vt:i4>
      </vt:variant>
      <vt:variant>
        <vt:i4>54</vt:i4>
      </vt:variant>
      <vt:variant>
        <vt:i4>0</vt:i4>
      </vt:variant>
      <vt:variant>
        <vt:i4>5</vt:i4>
      </vt:variant>
      <vt:variant>
        <vt:lpwstr>http://www.deguate.com/infocentros/gerencia/mercadeo/mk12.htm</vt:lpwstr>
      </vt:variant>
      <vt:variant>
        <vt:lpwstr/>
      </vt:variant>
      <vt:variant>
        <vt:i4>1507341</vt:i4>
      </vt:variant>
      <vt:variant>
        <vt:i4>51</vt:i4>
      </vt:variant>
      <vt:variant>
        <vt:i4>0</vt:i4>
      </vt:variant>
      <vt:variant>
        <vt:i4>5</vt:i4>
      </vt:variant>
      <vt:variant>
        <vt:lpwstr>http://www.deguate.com/infocentros/gerencia/mercadeo/mk12.htm</vt:lpwstr>
      </vt:variant>
      <vt:variant>
        <vt:lpwstr/>
      </vt:variant>
      <vt:variant>
        <vt:i4>5898331</vt:i4>
      </vt:variant>
      <vt:variant>
        <vt:i4>48</vt:i4>
      </vt:variant>
      <vt:variant>
        <vt:i4>0</vt:i4>
      </vt:variant>
      <vt:variant>
        <vt:i4>5</vt:i4>
      </vt:variant>
      <vt:variant>
        <vt:lpwstr>http://www.economia48.com/spa/d/factor/factor.htm</vt:lpwstr>
      </vt:variant>
      <vt:variant>
        <vt:lpwstr/>
      </vt:variant>
      <vt:variant>
        <vt:i4>4390978</vt:i4>
      </vt:variant>
      <vt:variant>
        <vt:i4>45</vt:i4>
      </vt:variant>
      <vt:variant>
        <vt:i4>0</vt:i4>
      </vt:variant>
      <vt:variant>
        <vt:i4>5</vt:i4>
      </vt:variant>
      <vt:variant>
        <vt:lpwstr>http://www.economia48.com/spa/d/estructura/estructura.htm</vt:lpwstr>
      </vt:variant>
      <vt:variant>
        <vt:lpwstr/>
      </vt:variant>
      <vt:variant>
        <vt:i4>6029405</vt:i4>
      </vt:variant>
      <vt:variant>
        <vt:i4>42</vt:i4>
      </vt:variant>
      <vt:variant>
        <vt:i4>0</vt:i4>
      </vt:variant>
      <vt:variant>
        <vt:i4>5</vt:i4>
      </vt:variant>
      <vt:variant>
        <vt:lpwstr>http://www.economia48.com/spa/d/cambio/cambio.htm</vt:lpwstr>
      </vt:variant>
      <vt:variant>
        <vt:lpwstr/>
      </vt:variant>
      <vt:variant>
        <vt:i4>5111887</vt:i4>
      </vt:variant>
      <vt:variant>
        <vt:i4>39</vt:i4>
      </vt:variant>
      <vt:variant>
        <vt:i4>0</vt:i4>
      </vt:variant>
      <vt:variant>
        <vt:i4>5</vt:i4>
      </vt:variant>
      <vt:variant>
        <vt:lpwstr>http://www.economia48.com/spa/d/escala/escala.htm</vt:lpwstr>
      </vt:variant>
      <vt:variant>
        <vt:lpwstr/>
      </vt:variant>
      <vt:variant>
        <vt:i4>6029405</vt:i4>
      </vt:variant>
      <vt:variant>
        <vt:i4>36</vt:i4>
      </vt:variant>
      <vt:variant>
        <vt:i4>0</vt:i4>
      </vt:variant>
      <vt:variant>
        <vt:i4>5</vt:i4>
      </vt:variant>
      <vt:variant>
        <vt:lpwstr>http://www.economia48.com/spa/d/cambio/cambio.htm</vt:lpwstr>
      </vt:variant>
      <vt:variant>
        <vt:lpwstr/>
      </vt:variant>
      <vt:variant>
        <vt:i4>4390978</vt:i4>
      </vt:variant>
      <vt:variant>
        <vt:i4>33</vt:i4>
      </vt:variant>
      <vt:variant>
        <vt:i4>0</vt:i4>
      </vt:variant>
      <vt:variant>
        <vt:i4>5</vt:i4>
      </vt:variant>
      <vt:variant>
        <vt:lpwstr>http://www.economia48.com/spa/d/produccion/produccion.htm</vt:lpwstr>
      </vt:variant>
      <vt:variant>
        <vt:lpwstr/>
      </vt:variant>
      <vt:variant>
        <vt:i4>7864441</vt:i4>
      </vt:variant>
      <vt:variant>
        <vt:i4>30</vt:i4>
      </vt:variant>
      <vt:variant>
        <vt:i4>0</vt:i4>
      </vt:variant>
      <vt:variant>
        <vt:i4>5</vt:i4>
      </vt:variant>
      <vt:variant>
        <vt:lpwstr>http://www.economia48.com/spa/d/volumen/volumen.htm</vt:lpwstr>
      </vt:variant>
      <vt:variant>
        <vt:lpwstr/>
      </vt:variant>
      <vt:variant>
        <vt:i4>5111887</vt:i4>
      </vt:variant>
      <vt:variant>
        <vt:i4>27</vt:i4>
      </vt:variant>
      <vt:variant>
        <vt:i4>0</vt:i4>
      </vt:variant>
      <vt:variant>
        <vt:i4>5</vt:i4>
      </vt:variant>
      <vt:variant>
        <vt:lpwstr>http://www.economia48.com/spa/d/tierra/tierra.htm</vt:lpwstr>
      </vt:variant>
      <vt:variant>
        <vt:lpwstr/>
      </vt:variant>
      <vt:variant>
        <vt:i4>6094940</vt:i4>
      </vt:variant>
      <vt:variant>
        <vt:i4>24</vt:i4>
      </vt:variant>
      <vt:variant>
        <vt:i4>0</vt:i4>
      </vt:variant>
      <vt:variant>
        <vt:i4>5</vt:i4>
      </vt:variant>
      <vt:variant>
        <vt:lpwstr>http://www.economia48.com/spa/d/fijo/fijo.htm</vt:lpwstr>
      </vt:variant>
      <vt:variant>
        <vt:lpwstr/>
      </vt:variant>
      <vt:variant>
        <vt:i4>7864441</vt:i4>
      </vt:variant>
      <vt:variant>
        <vt:i4>21</vt:i4>
      </vt:variant>
      <vt:variant>
        <vt:i4>0</vt:i4>
      </vt:variant>
      <vt:variant>
        <vt:i4>5</vt:i4>
      </vt:variant>
      <vt:variant>
        <vt:lpwstr>http://www.economia48.com/spa/d/trabajo/trabajo.htm</vt:lpwstr>
      </vt:variant>
      <vt:variant>
        <vt:lpwstr/>
      </vt:variant>
      <vt:variant>
        <vt:i4>4390978</vt:i4>
      </vt:variant>
      <vt:variant>
        <vt:i4>18</vt:i4>
      </vt:variant>
      <vt:variant>
        <vt:i4>0</vt:i4>
      </vt:variant>
      <vt:variant>
        <vt:i4>5</vt:i4>
      </vt:variant>
      <vt:variant>
        <vt:lpwstr>http://www.economia48.com/spa/d/produccion/produccion.htm</vt:lpwstr>
      </vt:variant>
      <vt:variant>
        <vt:lpwstr/>
      </vt:variant>
      <vt:variant>
        <vt:i4>5898331</vt:i4>
      </vt:variant>
      <vt:variant>
        <vt:i4>15</vt:i4>
      </vt:variant>
      <vt:variant>
        <vt:i4>0</vt:i4>
      </vt:variant>
      <vt:variant>
        <vt:i4>5</vt:i4>
      </vt:variant>
      <vt:variant>
        <vt:lpwstr>http://www.economia48.com/spa/d/factor/factor.htm</vt:lpwstr>
      </vt:variant>
      <vt:variant>
        <vt:lpwstr/>
      </vt:variant>
      <vt:variant>
        <vt:i4>5439570</vt:i4>
      </vt:variant>
      <vt:variant>
        <vt:i4>12</vt:i4>
      </vt:variant>
      <vt:variant>
        <vt:i4>0</vt:i4>
      </vt:variant>
      <vt:variant>
        <vt:i4>5</vt:i4>
      </vt:variant>
      <vt:variant>
        <vt:lpwstr>http://www.economia48.com/spa/d/ley-de-los-rendimientos-decrecientes/ley-de-los-rendimientos-decrecientes.htm</vt:lpwstr>
      </vt:variant>
      <vt:variant>
        <vt:lpwstr/>
      </vt:variant>
      <vt:variant>
        <vt:i4>5111887</vt:i4>
      </vt:variant>
      <vt:variant>
        <vt:i4>9</vt:i4>
      </vt:variant>
      <vt:variant>
        <vt:i4>0</vt:i4>
      </vt:variant>
      <vt:variant>
        <vt:i4>5</vt:i4>
      </vt:variant>
      <vt:variant>
        <vt:lpwstr>http://www.economia48.com/spa/d/escala/escala.htm</vt:lpwstr>
      </vt:variant>
      <vt:variant>
        <vt:lpwstr/>
      </vt:variant>
      <vt:variant>
        <vt:i4>5898331</vt:i4>
      </vt:variant>
      <vt:variant>
        <vt:i4>6</vt:i4>
      </vt:variant>
      <vt:variant>
        <vt:i4>0</vt:i4>
      </vt:variant>
      <vt:variant>
        <vt:i4>5</vt:i4>
      </vt:variant>
      <vt:variant>
        <vt:lpwstr>http://www.economia48.com/spa/d/economia/economia.htm</vt:lpwstr>
      </vt:variant>
      <vt:variant>
        <vt:lpwstr/>
      </vt:variant>
      <vt:variant>
        <vt:i4>6684709</vt:i4>
      </vt:variant>
      <vt:variant>
        <vt:i4>3</vt:i4>
      </vt:variant>
      <vt:variant>
        <vt:i4>0</vt:i4>
      </vt:variant>
      <vt:variant>
        <vt:i4>5</vt:i4>
      </vt:variant>
      <vt:variant>
        <vt:lpwstr>http://es.wikipedia.org/wiki/Inventario</vt:lpwstr>
      </vt:variant>
      <vt:variant>
        <vt:lpwstr/>
      </vt:variant>
      <vt:variant>
        <vt:i4>589850</vt:i4>
      </vt:variant>
      <vt:variant>
        <vt:i4>0</vt:i4>
      </vt:variant>
      <vt:variant>
        <vt:i4>0</vt:i4>
      </vt:variant>
      <vt:variant>
        <vt:i4>5</vt:i4>
      </vt:variant>
      <vt:variant>
        <vt:lpwstr>http://es.wikipedia.org/w/index.php?title=Inventario_de_seguridad&amp;action=edit&amp;redlink=1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Trazabilidad en los canales de distribución.</dc:title>
  <dc:subject>Evidencias</dc:subject>
  <dc:creator>Diana Marcela Bautista Acuña. 20.187</dc:creator>
  <cp:keywords/>
  <dc:description/>
  <cp:lastModifiedBy>usuario</cp:lastModifiedBy>
  <cp:revision>3</cp:revision>
  <dcterms:created xsi:type="dcterms:W3CDTF">2010-11-24T23:39:00Z</dcterms:created>
  <dcterms:modified xsi:type="dcterms:W3CDTF">2010-11-24T23:50:00Z</dcterms:modified>
</cp:coreProperties>
</file>